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910A9" w14:textId="4F8FE822" w:rsidR="00F43846" w:rsidRPr="00096BFA" w:rsidRDefault="006D7104">
      <w:pPr>
        <w:rPr>
          <w:rFonts w:asciiTheme="majorHAnsi" w:hAnsiTheme="majorHAnsi"/>
          <w:b/>
          <w:sz w:val="36"/>
          <w:szCs w:val="36"/>
        </w:rPr>
      </w:pPr>
      <w:bookmarkStart w:id="0" w:name="_GoBack"/>
      <w:bookmarkEnd w:id="0"/>
      <w:r w:rsidRPr="00096BFA">
        <w:rPr>
          <w:rFonts w:asciiTheme="majorHAnsi" w:hAnsiTheme="majorHAnsi"/>
          <w:b/>
          <w:sz w:val="36"/>
          <w:szCs w:val="36"/>
        </w:rPr>
        <w:t>The g</w:t>
      </w:r>
      <w:r w:rsidR="00F06370" w:rsidRPr="00096BFA">
        <w:rPr>
          <w:rFonts w:asciiTheme="majorHAnsi" w:hAnsiTheme="majorHAnsi"/>
          <w:b/>
          <w:sz w:val="36"/>
          <w:szCs w:val="36"/>
        </w:rPr>
        <w:t xml:space="preserve">lobal higher education </w:t>
      </w:r>
      <w:r w:rsidRPr="00096BFA">
        <w:rPr>
          <w:rFonts w:asciiTheme="majorHAnsi" w:hAnsiTheme="majorHAnsi"/>
          <w:b/>
          <w:sz w:val="36"/>
          <w:szCs w:val="36"/>
        </w:rPr>
        <w:t>market and its tensions</w:t>
      </w:r>
    </w:p>
    <w:p w14:paraId="7FE1252B" w14:textId="77777777" w:rsidR="00F06370" w:rsidRDefault="00F06370"/>
    <w:p w14:paraId="7B5BD389" w14:textId="77777777" w:rsidR="00F06370" w:rsidRDefault="00F06370">
      <w:r>
        <w:t>Simon Marginson</w:t>
      </w:r>
    </w:p>
    <w:p w14:paraId="0CCF24C9" w14:textId="77777777" w:rsidR="00F06370" w:rsidRDefault="00F06370">
      <w:r>
        <w:t xml:space="preserve">Joint Editor-in-Chief, </w:t>
      </w:r>
      <w:r w:rsidRPr="00F06370">
        <w:rPr>
          <w:i/>
        </w:rPr>
        <w:t>Higher Education</w:t>
      </w:r>
    </w:p>
    <w:p w14:paraId="01C2E9CC" w14:textId="77777777" w:rsidR="00F06370" w:rsidRDefault="00F06370"/>
    <w:p w14:paraId="2D8FE21F" w14:textId="77777777" w:rsidR="00F06370" w:rsidRDefault="00F06370">
      <w:r>
        <w:t>Centre for the Study of Higher Education</w:t>
      </w:r>
    </w:p>
    <w:p w14:paraId="03E27CC9" w14:textId="77777777" w:rsidR="00F06370" w:rsidRDefault="00F06370">
      <w:r>
        <w:t xml:space="preserve">University of Melbourne, Australia </w:t>
      </w:r>
    </w:p>
    <w:p w14:paraId="22D9D402" w14:textId="77777777" w:rsidR="00F06370" w:rsidRDefault="0017318E">
      <w:hyperlink r:id="rId7" w:history="1">
        <w:r w:rsidR="00F06370" w:rsidRPr="00490A86">
          <w:rPr>
            <w:rStyle w:val="Hyperlink"/>
          </w:rPr>
          <w:t>s.marginson@unimelb.edu.au</w:t>
        </w:r>
      </w:hyperlink>
      <w:r w:rsidR="00F06370">
        <w:t xml:space="preserve"> </w:t>
      </w:r>
    </w:p>
    <w:p w14:paraId="19A711EB" w14:textId="77777777" w:rsidR="00F06370" w:rsidRDefault="00F06370" w:rsidP="00F06370">
      <w:pPr>
        <w:pBdr>
          <w:bottom w:val="single" w:sz="4" w:space="1" w:color="auto"/>
        </w:pBdr>
      </w:pPr>
    </w:p>
    <w:p w14:paraId="396718E6" w14:textId="77777777" w:rsidR="00F06370" w:rsidRDefault="00F06370"/>
    <w:p w14:paraId="6E7E1B8F" w14:textId="77777777" w:rsidR="006A14BF" w:rsidRDefault="006A14BF"/>
    <w:p w14:paraId="76F43CA0" w14:textId="4C894C16" w:rsidR="006A14BF" w:rsidRPr="006A14BF" w:rsidRDefault="006A14BF">
      <w:pPr>
        <w:rPr>
          <w:b/>
        </w:rPr>
      </w:pPr>
      <w:r w:rsidRPr="006A14BF">
        <w:rPr>
          <w:b/>
        </w:rPr>
        <w:t>The global market</w:t>
      </w:r>
      <w:r>
        <w:rPr>
          <w:b/>
        </w:rPr>
        <w:t xml:space="preserve"> and ‘World-Class Universities’</w:t>
      </w:r>
    </w:p>
    <w:p w14:paraId="6BEA7655" w14:textId="77777777" w:rsidR="006A14BF" w:rsidRDefault="006A14BF"/>
    <w:p w14:paraId="4332EFB2" w14:textId="05253BB4" w:rsidR="00F06370" w:rsidRDefault="00CE2B28">
      <w:r>
        <w:t>H</w:t>
      </w:r>
      <w:r w:rsidR="0077338B">
        <w:t xml:space="preserve">igher education has </w:t>
      </w:r>
      <w:r>
        <w:t>been transformed</w:t>
      </w:r>
      <w:r w:rsidR="0077338B">
        <w:t xml:space="preserve"> since the advent of </w:t>
      </w:r>
      <w:r w:rsidR="00F42CB5">
        <w:t xml:space="preserve">the </w:t>
      </w:r>
      <w:r w:rsidR="0077338B">
        <w:t>communicative globalization</w:t>
      </w:r>
      <w:r>
        <w:t xml:space="preserve"> </w:t>
      </w:r>
      <w:r w:rsidR="0077338B">
        <w:t xml:space="preserve">triggered by the </w:t>
      </w:r>
      <w:proofErr w:type="gramStart"/>
      <w:r w:rsidR="0077338B">
        <w:t>roll-out</w:t>
      </w:r>
      <w:proofErr w:type="gramEnd"/>
      <w:r w:rsidR="0077338B">
        <w:t xml:space="preserve"> of the Internet in the early 1990s</w:t>
      </w:r>
      <w:r>
        <w:t>. The Internet created a one-world communicative and cultural environment for the first time</w:t>
      </w:r>
      <w:r w:rsidR="0077338B">
        <w:t xml:space="preserve">. </w:t>
      </w:r>
      <w:r>
        <w:t>Together wi</w:t>
      </w:r>
      <w:r w:rsidR="003760C6">
        <w:t xml:space="preserve">th </w:t>
      </w:r>
      <w:r w:rsidR="00F42CB5">
        <w:t xml:space="preserve">satellite media and </w:t>
      </w:r>
      <w:r w:rsidR="003760C6">
        <w:t>the cheapening of air-travel</w:t>
      </w:r>
      <w:r>
        <w:t xml:space="preserve"> this not only facilitated the mobility of messages, ideas, knowledge, technologies, people and capital in higher education, it </w:t>
      </w:r>
      <w:r w:rsidR="00F42CB5">
        <w:t>facilitat</w:t>
      </w:r>
      <w:r w:rsidR="003760C6">
        <w:t>ed a single networked system</w:t>
      </w:r>
      <w:r>
        <w:t xml:space="preserve"> of research universities at global level. This global system is not </w:t>
      </w:r>
      <w:r w:rsidR="00B2130E">
        <w:t>all-inclusive</w:t>
      </w:r>
      <w:r w:rsidR="00F42CB5">
        <w:t>. M</w:t>
      </w:r>
      <w:r>
        <w:t xml:space="preserve">uch local and national activity in higher education does not pass through the global circuits, and as will be discussed below, global engagement is </w:t>
      </w:r>
      <w:r w:rsidR="00F42CB5">
        <w:t>highly u</w:t>
      </w:r>
      <w:r>
        <w:t>neven by country</w:t>
      </w:r>
      <w:r w:rsidR="003760C6">
        <w:t xml:space="preserve">, sub-sector and </w:t>
      </w:r>
      <w:r w:rsidR="00F42CB5">
        <w:t xml:space="preserve">individual </w:t>
      </w:r>
      <w:r w:rsidR="003760C6">
        <w:t>institution</w:t>
      </w:r>
      <w:r w:rsidR="00F42CB5">
        <w:t>. B</w:t>
      </w:r>
      <w:r w:rsidR="003760C6">
        <w:t xml:space="preserve">ut there is no doubt about </w:t>
      </w:r>
      <w:r w:rsidR="00F42CB5">
        <w:t xml:space="preserve">the </w:t>
      </w:r>
      <w:r w:rsidR="003760C6">
        <w:t xml:space="preserve">power </w:t>
      </w:r>
      <w:r w:rsidR="00F42CB5">
        <w:t xml:space="preserve">of this global system </w:t>
      </w:r>
      <w:r w:rsidR="003760C6">
        <w:t xml:space="preserve">to affect </w:t>
      </w:r>
      <w:r w:rsidR="00F42CB5">
        <w:t>the most</w:t>
      </w:r>
      <w:r w:rsidR="003760C6">
        <w:t xml:space="preserve"> parochial </w:t>
      </w:r>
      <w:r w:rsidR="00F42CB5">
        <w:t>nations</w:t>
      </w:r>
      <w:r w:rsidR="003760C6">
        <w:t xml:space="preserve">. The </w:t>
      </w:r>
      <w:r w:rsidR="00F42CB5">
        <w:t>main new</w:t>
      </w:r>
      <w:r w:rsidR="003760C6">
        <w:t xml:space="preserve"> changes in higher education of the last 15 years have all been global in character: world university rankings, Mass Online Open Courseware (MOOCs), and the spread of research capacity</w:t>
      </w:r>
      <w:r w:rsidR="00F42CB5">
        <w:t xml:space="preserve"> including</w:t>
      </w:r>
      <w:r w:rsidR="003760C6">
        <w:t xml:space="preserve"> the </w:t>
      </w:r>
      <w:r w:rsidR="00F42CB5">
        <w:t xml:space="preserve">spectacular </w:t>
      </w:r>
      <w:r w:rsidR="003760C6">
        <w:t>rise of East Asian science.</w:t>
      </w:r>
    </w:p>
    <w:p w14:paraId="1CD18D30" w14:textId="77777777" w:rsidR="003760C6" w:rsidRDefault="003760C6"/>
    <w:p w14:paraId="3B849AD4" w14:textId="4FA189C7" w:rsidR="004A3380" w:rsidRDefault="002D3995">
      <w:r>
        <w:t>The</w:t>
      </w:r>
      <w:r w:rsidR="003760C6">
        <w:t xml:space="preserve"> global system of higher education combines collaborati</w:t>
      </w:r>
      <w:r w:rsidR="00F42CB5">
        <w:t>on</w:t>
      </w:r>
      <w:r w:rsidR="003760C6">
        <w:t xml:space="preserve"> and competiti</w:t>
      </w:r>
      <w:r w:rsidR="00F42CB5">
        <w:t>on between</w:t>
      </w:r>
      <w:r w:rsidR="005D38B1">
        <w:t xml:space="preserve"> mostly the same players</w:t>
      </w:r>
      <w:r w:rsidR="003760C6">
        <w:t xml:space="preserve">. </w:t>
      </w:r>
      <w:r w:rsidR="005D38B1">
        <w:t xml:space="preserve">In a globalizing environment </w:t>
      </w:r>
      <w:r w:rsidR="00867AF8">
        <w:t xml:space="preserve">in which individual nation-states </w:t>
      </w:r>
      <w:r w:rsidR="00F42CB5">
        <w:t xml:space="preserve">increasingly </w:t>
      </w:r>
      <w:r w:rsidR="00867AF8">
        <w:t>see themselves as ‘global competition states’</w:t>
      </w:r>
      <w:r w:rsidR="005D38B1">
        <w:t xml:space="preserve"> (</w:t>
      </w:r>
      <w:proofErr w:type="spellStart"/>
      <w:r w:rsidR="005D38B1">
        <w:t>Cerny</w:t>
      </w:r>
      <w:proofErr w:type="spellEnd"/>
      <w:r w:rsidR="005D38B1">
        <w:t xml:space="preserve">, </w:t>
      </w:r>
      <w:r w:rsidR="004A3380">
        <w:t>2007</w:t>
      </w:r>
      <w:r w:rsidR="005D38B1">
        <w:t>)</w:t>
      </w:r>
      <w:r w:rsidR="00867AF8">
        <w:t xml:space="preserve">, </w:t>
      </w:r>
      <w:r w:rsidR="00F94AFB">
        <w:t xml:space="preserve">and the knowledge economy imaginary has become near universal in government, all governments and research-intensive higher education institutions (HEIs) must have global strategies, and </w:t>
      </w:r>
      <w:r w:rsidR="00867AF8">
        <w:t xml:space="preserve">higher education is </w:t>
      </w:r>
      <w:r w:rsidR="00F94AFB">
        <w:t xml:space="preserve">being </w:t>
      </w:r>
      <w:r w:rsidR="00F42CB5">
        <w:t>partly shaped b</w:t>
      </w:r>
      <w:r w:rsidR="005D38B1">
        <w:t>y</w:t>
      </w:r>
      <w:r w:rsidR="00867AF8">
        <w:t xml:space="preserve"> cross-border comparisons</w:t>
      </w:r>
      <w:r w:rsidR="004A3380">
        <w:t xml:space="preserve">. </w:t>
      </w:r>
      <w:r w:rsidR="005D38B1">
        <w:t>N</w:t>
      </w:r>
      <w:r w:rsidR="00867AF8">
        <w:t xml:space="preserve">ational systems and individual </w:t>
      </w:r>
      <w:r w:rsidR="00F94AFB">
        <w:t>HEIs</w:t>
      </w:r>
      <w:r w:rsidR="00867AF8">
        <w:t xml:space="preserve"> are </w:t>
      </w:r>
      <w:r w:rsidR="004A3380">
        <w:t>understood</w:t>
      </w:r>
      <w:r w:rsidR="00867AF8">
        <w:t xml:space="preserve"> with reference to each other </w:t>
      </w:r>
      <w:r w:rsidR="005D38B1">
        <w:t xml:space="preserve">and to common global </w:t>
      </w:r>
      <w:proofErr w:type="gramStart"/>
      <w:r w:rsidR="005D38B1">
        <w:t>standards,</w:t>
      </w:r>
      <w:proofErr w:type="gramEnd"/>
      <w:r w:rsidR="005D38B1">
        <w:t xml:space="preserve"> variously defined. </w:t>
      </w:r>
      <w:r w:rsidR="004A3380">
        <w:t xml:space="preserve">In the United States </w:t>
      </w:r>
      <w:r w:rsidR="00ED484A">
        <w:t>sensitivity to ranked comparison is apparent in relation to PISA at secondary school level. This sensitivity</w:t>
      </w:r>
      <w:r w:rsidR="004A3380">
        <w:t xml:space="preserve"> is not yet apparent in relation to higher education</w:t>
      </w:r>
      <w:r w:rsidR="00ED484A">
        <w:t xml:space="preserve">, </w:t>
      </w:r>
      <w:r w:rsidR="001611DD">
        <w:t>where</w:t>
      </w:r>
      <w:r w:rsidR="00ED484A">
        <w:t xml:space="preserve"> </w:t>
      </w:r>
      <w:r w:rsidR="004A3380">
        <w:t xml:space="preserve">the country maintains a long lead over </w:t>
      </w:r>
      <w:r w:rsidR="001611DD">
        <w:t>Asia and Europe</w:t>
      </w:r>
      <w:r w:rsidR="004A3380">
        <w:t xml:space="preserve">, though the gap </w:t>
      </w:r>
      <w:r w:rsidR="001611DD">
        <w:t xml:space="preserve">with Asia </w:t>
      </w:r>
      <w:r w:rsidR="004A3380">
        <w:t xml:space="preserve">is </w:t>
      </w:r>
      <w:r w:rsidR="001611DD">
        <w:t xml:space="preserve">starting </w:t>
      </w:r>
      <w:r w:rsidR="004A3380">
        <w:t>to narrow</w:t>
      </w:r>
      <w:r w:rsidR="00ED484A">
        <w:t xml:space="preserve">. </w:t>
      </w:r>
      <w:r w:rsidR="001611DD">
        <w:t xml:space="preserve">The old baseball conceit still applies in universities: best in the USA is best in the world. The amateurish </w:t>
      </w:r>
      <w:r w:rsidR="001611DD" w:rsidRPr="001611DD">
        <w:rPr>
          <w:i/>
        </w:rPr>
        <w:t>US News and World Report</w:t>
      </w:r>
      <w:r w:rsidR="001611DD">
        <w:t xml:space="preserve"> still regulates the ‘world series’. However,</w:t>
      </w:r>
      <w:r w:rsidR="00ED484A">
        <w:t xml:space="preserve"> in all other countries</w:t>
      </w:r>
      <w:r w:rsidR="001611DD">
        <w:t>,</w:t>
      </w:r>
      <w:r w:rsidR="00ED484A">
        <w:t xml:space="preserve"> global rankings matter. </w:t>
      </w:r>
      <w:r w:rsidR="004A3380">
        <w:t xml:space="preserve"> </w:t>
      </w:r>
    </w:p>
    <w:p w14:paraId="1E2D8FAF" w14:textId="77777777" w:rsidR="004A3380" w:rsidRDefault="004A3380"/>
    <w:p w14:paraId="30ADD701" w14:textId="2B78261E" w:rsidR="00B2130E" w:rsidRDefault="00F94AFB">
      <w:r>
        <w:t xml:space="preserve">The </w:t>
      </w:r>
      <w:r w:rsidR="006202ED">
        <w:t xml:space="preserve">empirical </w:t>
      </w:r>
      <w:r>
        <w:t>foundations of the knowledge eco</w:t>
      </w:r>
      <w:r w:rsidR="002D3995">
        <w:t>nomy argument are unclear. It has</w:t>
      </w:r>
      <w:r>
        <w:t xml:space="preserve"> not been conclusively demonstrated in political economy that investment in human capital generates growth, or that investment in R&amp;D, especially in basic research, leads to commercially profitable innovations</w:t>
      </w:r>
      <w:r w:rsidR="002D3995">
        <w:t xml:space="preserve">, and less so in the specific </w:t>
      </w:r>
      <w:r w:rsidR="002D3995">
        <w:lastRenderedPageBreak/>
        <w:t>national economy</w:t>
      </w:r>
      <w:r>
        <w:t xml:space="preserve">. What is clear is that (1) advanced economic development, strong higher education and capacity in science form a single inter-dependent system in which it is no longer possible to have one without having all three; </w:t>
      </w:r>
      <w:r w:rsidR="00B2130E">
        <w:t xml:space="preserve">(2) both nation states and the growing number of </w:t>
      </w:r>
      <w:r w:rsidR="00022231">
        <w:t>aspirants</w:t>
      </w:r>
      <w:r w:rsidR="00B2130E">
        <w:t xml:space="preserve"> families agree </w:t>
      </w:r>
      <w:r w:rsidR="00022231">
        <w:t xml:space="preserve">that tertiary participation should continue to grow well beyond what Martin </w:t>
      </w:r>
      <w:proofErr w:type="spellStart"/>
      <w:r w:rsidR="00022231">
        <w:t>Trow</w:t>
      </w:r>
      <w:proofErr w:type="spellEnd"/>
      <w:r w:rsidR="00022231">
        <w:t xml:space="preserve"> (197</w:t>
      </w:r>
      <w:r w:rsidR="00A84FD7">
        <w:t>4</w:t>
      </w:r>
      <w:r w:rsidR="00022231">
        <w:t>) tagged as ‘universal’, 50 per cent of the age group; and</w:t>
      </w:r>
      <w:r>
        <w:t xml:space="preserve"> (</w:t>
      </w:r>
      <w:r w:rsidR="00B2130E">
        <w:t>3</w:t>
      </w:r>
      <w:r>
        <w:t xml:space="preserve">) </w:t>
      </w:r>
      <w:r w:rsidR="006202ED">
        <w:t xml:space="preserve">in most policy environments </w:t>
      </w:r>
      <w:r>
        <w:t xml:space="preserve">the knowledge argument </w:t>
      </w:r>
      <w:r w:rsidR="006202ED">
        <w:t>is</w:t>
      </w:r>
      <w:r>
        <w:t xml:space="preserve"> </w:t>
      </w:r>
      <w:r w:rsidR="006202ED">
        <w:t>strongly held as an</w:t>
      </w:r>
      <w:r>
        <w:t xml:space="preserve"> article of faith</w:t>
      </w:r>
      <w:r w:rsidR="006202ED">
        <w:t xml:space="preserve">. </w:t>
      </w:r>
    </w:p>
    <w:p w14:paraId="53E72401" w14:textId="77777777" w:rsidR="00B2130E" w:rsidRDefault="00B2130E"/>
    <w:p w14:paraId="750E3B00" w14:textId="33196CD8" w:rsidR="00013F0D" w:rsidRDefault="006202ED">
      <w:r>
        <w:t xml:space="preserve">The </w:t>
      </w:r>
      <w:r w:rsidR="002D3995">
        <w:t xml:space="preserve">essential </w:t>
      </w:r>
      <w:r w:rsidR="00B2130E">
        <w:t xml:space="preserve">knowledge economy </w:t>
      </w:r>
      <w:r w:rsidR="002D3995">
        <w:t>myth</w:t>
      </w:r>
      <w:r>
        <w:t xml:space="preserve"> is Silicon Valley, </w:t>
      </w:r>
      <w:r w:rsidR="00B814CB">
        <w:t>where</w:t>
      </w:r>
      <w:r>
        <w:t xml:space="preserve"> research-driven technological innovation triggered a </w:t>
      </w:r>
      <w:proofErr w:type="gramStart"/>
      <w:r>
        <w:t>world-wide</w:t>
      </w:r>
      <w:proofErr w:type="gramEnd"/>
      <w:r>
        <w:t xml:space="preserve"> wave of productivity advance in every industry, the global renaissance of the US economy, and numerous private fortunes. 1980s/1990s Silicon Valley has been a</w:t>
      </w:r>
      <w:r w:rsidR="0047705C">
        <w:t>s</w:t>
      </w:r>
      <w:r>
        <w:t xml:space="preserve"> strong an influence in R&amp;D thinking as was the Manhattan Project in the 1940s</w:t>
      </w:r>
      <w:r w:rsidR="006A14BF">
        <w:t>,</w:t>
      </w:r>
      <w:r>
        <w:t xml:space="preserve"> though the implications for public/ private funding ratios in higher education </w:t>
      </w:r>
      <w:r w:rsidR="006A14BF">
        <w:t>are</w:t>
      </w:r>
      <w:r w:rsidR="0047705C">
        <w:t xml:space="preserve"> different. The myth is more directly relevant to R&amp;D than tertiary participation. </w:t>
      </w:r>
      <w:r w:rsidR="00B814CB">
        <w:t xml:space="preserve">While a case can be made that all higher education fosters generic capacities that provide </w:t>
      </w:r>
      <w:proofErr w:type="spellStart"/>
      <w:r w:rsidR="00B814CB">
        <w:t>favourable</w:t>
      </w:r>
      <w:proofErr w:type="spellEnd"/>
      <w:r w:rsidR="00B814CB">
        <w:t xml:space="preserve"> conditions for productivity advance, here the economic contribution is indirect and depends on factors largely outside the control of HEIs.  Where there is clear evidence of </w:t>
      </w:r>
      <w:r w:rsidR="0047705C">
        <w:t xml:space="preserve">growing demand for high skill graduates </w:t>
      </w:r>
      <w:r w:rsidR="00B814CB">
        <w:t xml:space="preserve">this </w:t>
      </w:r>
      <w:r w:rsidR="0047705C">
        <w:t>is episodic and specific to industry sectors</w:t>
      </w:r>
      <w:r w:rsidR="00B814CB">
        <w:t>,</w:t>
      </w:r>
      <w:r w:rsidR="0047705C">
        <w:t xml:space="preserve"> </w:t>
      </w:r>
      <w:r w:rsidR="00B814CB">
        <w:t>rather than being</w:t>
      </w:r>
      <w:r w:rsidR="0047705C">
        <w:t xml:space="preserve"> consistent</w:t>
      </w:r>
      <w:r w:rsidR="00B814CB">
        <w:t xml:space="preserve"> or universal</w:t>
      </w:r>
      <w:r w:rsidR="0047705C">
        <w:t xml:space="preserve">. </w:t>
      </w:r>
      <w:r w:rsidR="003432AA">
        <w:t xml:space="preserve">But it is more social </w:t>
      </w:r>
      <w:r w:rsidR="00B814CB">
        <w:t xml:space="preserve">demand </w:t>
      </w:r>
      <w:r w:rsidR="003432AA">
        <w:t xml:space="preserve">than economic demand that drives </w:t>
      </w:r>
      <w:r w:rsidR="00B814CB">
        <w:t xml:space="preserve">the </w:t>
      </w:r>
      <w:r w:rsidR="003432AA">
        <w:t>growth in participation.</w:t>
      </w:r>
    </w:p>
    <w:p w14:paraId="3163DCC7" w14:textId="77777777" w:rsidR="003F192B" w:rsidRDefault="003F192B"/>
    <w:p w14:paraId="6CA18B26" w14:textId="77777777" w:rsidR="003432AA" w:rsidRDefault="003432AA" w:rsidP="003432AA">
      <w:r>
        <w:t xml:space="preserve">Nations vary in their levels of tertiary participation and within that, participation in the degree programs of three years and more that the OECD defines as ‘Tertiary Type A’ (OECD, 2012). High participation systems include Korea, Taiwan and Japan; the United States, Canada and Australia; the Netherlands and Belgium; Slovenia, the Czech Republic and Poland; the Nordic countries; Russia. The UK and Singapore recently entered this group though France, Switzerland and Germany remain on the cusp or just inside. The overall trajectory though is upwards everywhere and while some nations have expanded their sub-degree programs to accommodate the newcomers many have grown degree programs. </w:t>
      </w:r>
    </w:p>
    <w:p w14:paraId="0C641583" w14:textId="77777777" w:rsidR="003432AA" w:rsidRDefault="003432AA" w:rsidP="003432AA"/>
    <w:p w14:paraId="48C03A14" w14:textId="77777777" w:rsidR="006321AC" w:rsidRDefault="003432AA" w:rsidP="003432AA">
      <w:r>
        <w:t>However, as everyone knows, the prolonged recession in North America and Europe has placed great pressure on existing cost structures. There have been sharply varied responses. I</w:t>
      </w:r>
      <w:r w:rsidRPr="00DB1770">
        <w:t xml:space="preserve">n Europe between 2008 and 2012, there were overall decrease in public funding of </w:t>
      </w:r>
      <w:r>
        <w:t xml:space="preserve">higher education in </w:t>
      </w:r>
      <w:r w:rsidRPr="00DB1770">
        <w:t>more than 10 per cent in 11 countries</w:t>
      </w:r>
      <w:r>
        <w:t xml:space="preserve">, including </w:t>
      </w:r>
      <w:r w:rsidRPr="00DB1770">
        <w:t xml:space="preserve">the Baltic countries, Czech Republic, Hungary, Croatia, Greece, Italy, Spain and Portugal. </w:t>
      </w:r>
      <w:r>
        <w:t xml:space="preserve">At the same time some countries </w:t>
      </w:r>
      <w:r w:rsidRPr="00DB1770">
        <w:t xml:space="preserve">maintained or increased </w:t>
      </w:r>
      <w:r>
        <w:t xml:space="preserve">public funding, including </w:t>
      </w:r>
      <w:r w:rsidRPr="00DB1770">
        <w:t>all Nordic systems except Iceland, France, Belgium, Germany, Austria and Switzerland</w:t>
      </w:r>
      <w:r>
        <w:t xml:space="preserve"> (EUA, 2012)</w:t>
      </w:r>
      <w:r w:rsidRPr="00DB1770">
        <w:t xml:space="preserve">. </w:t>
      </w:r>
      <w:r>
        <w:t>On the whole r</w:t>
      </w:r>
      <w:r w:rsidRPr="00DB1770">
        <w:t xml:space="preserve">esearch-intensive universities </w:t>
      </w:r>
      <w:r>
        <w:t xml:space="preserve">have </w:t>
      </w:r>
      <w:r w:rsidR="006321AC">
        <w:t>often</w:t>
      </w:r>
      <w:r>
        <w:t xml:space="preserve"> been </w:t>
      </w:r>
      <w:r w:rsidRPr="00DB1770">
        <w:t>better protected</w:t>
      </w:r>
      <w:r>
        <w:t xml:space="preserve"> than others</w:t>
      </w:r>
      <w:r w:rsidR="006321AC">
        <w:t>, though not always</w:t>
      </w:r>
      <w:r>
        <w:t xml:space="preserve">. But the overall trend is a continued and accelerated increase in the proportion of costs of teaching that are financed by students and/or families. </w:t>
      </w:r>
    </w:p>
    <w:p w14:paraId="17D412FC" w14:textId="77777777" w:rsidR="006321AC" w:rsidRDefault="006321AC" w:rsidP="003432AA"/>
    <w:p w14:paraId="7699FADC" w14:textId="6C2D02AB" w:rsidR="003432AA" w:rsidRDefault="003432AA" w:rsidP="003432AA">
      <w:r>
        <w:t xml:space="preserve">This </w:t>
      </w:r>
      <w:r w:rsidR="006321AC">
        <w:t xml:space="preserve">trend </w:t>
      </w:r>
      <w:r>
        <w:t xml:space="preserve">has been facilitated not only by the recession but also by international education. </w:t>
      </w:r>
      <w:r w:rsidR="006321AC">
        <w:t>I</w:t>
      </w:r>
      <w:r>
        <w:t>n some European countries, domestic student places are free but international students pay fees, and this may be the ‘thin end of the wedge’ for broader private funding. The funding compact remains a national matter, local political idiosyncrasies are pronounced, and there is often strong opposition to tuition increases. Nevertheless we are seeing a slow, long-term, hesitant, uneven trend to global convergence around a mixed public</w:t>
      </w:r>
      <w:proofErr w:type="gramStart"/>
      <w:r>
        <w:t>/private funding</w:t>
      </w:r>
      <w:proofErr w:type="gramEnd"/>
      <w:r>
        <w:t xml:space="preserve"> model. In many jurisdictions the growing evacuation of government funding is joined to official rhetoric about the private benefits of degrees and weakened focus on the public or social benefits of higher education, except in relation to equity (mostly understood in terms of inclusion not social equality) and </w:t>
      </w:r>
      <w:r w:rsidR="006321AC">
        <w:t>the</w:t>
      </w:r>
      <w:r>
        <w:t xml:space="preserve"> ‘engagement’ of HEIs</w:t>
      </w:r>
      <w:r w:rsidR="006321AC">
        <w:t xml:space="preserve"> in communities and sub-national regions, including their welfare functions</w:t>
      </w:r>
      <w:r>
        <w:t>. Th</w:t>
      </w:r>
      <w:r w:rsidR="006321AC">
        <w:t>e</w:t>
      </w:r>
      <w:r>
        <w:t xml:space="preserve"> official indifference about national public goods also </w:t>
      </w:r>
      <w:r w:rsidR="006321AC">
        <w:t>shelters</w:t>
      </w:r>
      <w:r>
        <w:t xml:space="preserve"> </w:t>
      </w:r>
      <w:r w:rsidR="006321AC">
        <w:t xml:space="preserve">widespread </w:t>
      </w:r>
      <w:r>
        <w:t xml:space="preserve">indifference about the </w:t>
      </w:r>
      <w:r w:rsidR="006321AC">
        <w:t xml:space="preserve">(considerable) </w:t>
      </w:r>
      <w:r>
        <w:t xml:space="preserve">role of HEIs in </w:t>
      </w:r>
      <w:r w:rsidR="006321AC">
        <w:t xml:space="preserve">creating </w:t>
      </w:r>
      <w:r>
        <w:t>global public goods.</w:t>
      </w:r>
    </w:p>
    <w:p w14:paraId="1D708D3C" w14:textId="77777777" w:rsidR="004C694E" w:rsidRDefault="004C694E" w:rsidP="006202ED"/>
    <w:p w14:paraId="330EF011" w14:textId="28AD63D0" w:rsidR="006A14BF" w:rsidRDefault="006202ED" w:rsidP="006202ED">
      <w:r>
        <w:t>Though it is not a predominantly trading industry, higher education is often understood as a global market, an imaginary that fits mainstream political cultures. Increasingly the global higher education market is structured by global rankings, which define a reputational hierarchy with shaping effects in the flows of knowledge, people and capital. The global higher education market is not an illusion. It has profound material effects. At the same time this global market is reified and generates both distortions and limits. There is more to global higher education than market competition but that ‘more’ is often partly hidden from view, for example the role of HEIs in generating global public goods. Moreover, competition in higher education is both more and less than orthodox economic competition because status plays a c</w:t>
      </w:r>
      <w:r w:rsidR="006A14BF">
        <w:t xml:space="preserve">entral role—most </w:t>
      </w:r>
      <w:r>
        <w:t>HEIs, including all leading HEIs, are not primarily profit-driven</w:t>
      </w:r>
      <w:r w:rsidR="006A14BF">
        <w:t>—and because governments persuaded of the knowledge economy argument will not let go</w:t>
      </w:r>
      <w:r>
        <w:t xml:space="preserve"> (Marginson, 2006; 2007, 2012). </w:t>
      </w:r>
    </w:p>
    <w:p w14:paraId="626F9A44" w14:textId="77777777" w:rsidR="006A14BF" w:rsidRDefault="006A14BF" w:rsidP="006202ED"/>
    <w:p w14:paraId="645AB373" w14:textId="31DF9AFB" w:rsidR="006202ED" w:rsidRDefault="006202ED" w:rsidP="006202ED">
      <w:r>
        <w:t>Th</w:t>
      </w:r>
      <w:r w:rsidR="006A14BF">
        <w:t>us th</w:t>
      </w:r>
      <w:r>
        <w:t xml:space="preserve">e sector remains more policy dependent than conventional industries. </w:t>
      </w:r>
      <w:r w:rsidR="006A14BF">
        <w:t>In this market, f</w:t>
      </w:r>
      <w:r>
        <w:t>or government</w:t>
      </w:r>
      <w:r w:rsidR="006A14BF">
        <w:t xml:space="preserve"> and HEIs</w:t>
      </w:r>
      <w:r>
        <w:t xml:space="preserve"> the chief regulatory technologies are rankings and quality assurance. </w:t>
      </w:r>
      <w:r w:rsidR="006A14BF">
        <w:t>E</w:t>
      </w:r>
      <w:r>
        <w:t xml:space="preserve">ach </w:t>
      </w:r>
      <w:proofErr w:type="gramStart"/>
      <w:r>
        <w:t>have</w:t>
      </w:r>
      <w:proofErr w:type="gramEnd"/>
      <w:r>
        <w:t xml:space="preserve"> their weaknesses</w:t>
      </w:r>
      <w:r w:rsidR="006A14BF">
        <w:t>. R</w:t>
      </w:r>
      <w:r>
        <w:t xml:space="preserve">ankings say too much, </w:t>
      </w:r>
      <w:r w:rsidR="006A14BF">
        <w:t xml:space="preserve">in </w:t>
      </w:r>
      <w:r>
        <w:t>that they are overly prescriptive</w:t>
      </w:r>
      <w:r w:rsidR="00B2130E">
        <w:t>, too steeply hierarchical, recycle reputation</w:t>
      </w:r>
      <w:r w:rsidR="006A14BF">
        <w:t xml:space="preserve"> and limit the scope for merit</w:t>
      </w:r>
      <w:r w:rsidR="00B2130E">
        <w:t xml:space="preserve"> and innovation</w:t>
      </w:r>
      <w:r w:rsidR="006A14BF">
        <w:t xml:space="preserve">. Quality assurance says too little. ‘Quality’ </w:t>
      </w:r>
      <w:r w:rsidR="00B2130E">
        <w:t>and ‘excellence’ are</w:t>
      </w:r>
      <w:r w:rsidR="006A14BF">
        <w:t xml:space="preserve"> notoriously slippery</w:t>
      </w:r>
      <w:r w:rsidR="00B2130E">
        <w:t xml:space="preserve"> as Bill Readings </w:t>
      </w:r>
      <w:r w:rsidR="0004662A">
        <w:t>emphasiz</w:t>
      </w:r>
      <w:r w:rsidR="00B2130E">
        <w:t xml:space="preserve">ed </w:t>
      </w:r>
      <w:r w:rsidR="006321AC">
        <w:t xml:space="preserve">at an earlier stage </w:t>
      </w:r>
      <w:r w:rsidR="00B2130E">
        <w:t xml:space="preserve">in </w:t>
      </w:r>
      <w:r w:rsidR="00B2130E" w:rsidRPr="00B2130E">
        <w:rPr>
          <w:i/>
        </w:rPr>
        <w:t>The University in Ruins</w:t>
      </w:r>
      <w:r w:rsidR="00B2130E">
        <w:t xml:space="preserve"> (199</w:t>
      </w:r>
      <w:r w:rsidR="00A47340">
        <w:t>6</w:t>
      </w:r>
      <w:r w:rsidR="00B2130E">
        <w:t>)</w:t>
      </w:r>
      <w:r w:rsidR="006A14BF">
        <w:t xml:space="preserve">. QA mechanisms provide no clarity on material trends, provide little practical </w:t>
      </w:r>
      <w:proofErr w:type="spellStart"/>
      <w:r w:rsidR="006A14BF">
        <w:t>defence</w:t>
      </w:r>
      <w:proofErr w:type="spellEnd"/>
      <w:r w:rsidR="006A14BF">
        <w:t xml:space="preserve"> against the erosion of product value, and are often captured by </w:t>
      </w:r>
      <w:r w:rsidR="00B2130E">
        <w:t xml:space="preserve">HEI </w:t>
      </w:r>
      <w:r w:rsidR="006A14BF">
        <w:t xml:space="preserve">marketing departments.  </w:t>
      </w:r>
    </w:p>
    <w:p w14:paraId="06A331E6" w14:textId="77777777" w:rsidR="006202ED" w:rsidRDefault="006202ED" w:rsidP="006202ED"/>
    <w:p w14:paraId="71C96AD4" w14:textId="17C4E828" w:rsidR="006321AC" w:rsidRDefault="003643B0">
      <w:r>
        <w:t xml:space="preserve">The formation of the global market </w:t>
      </w:r>
      <w:r w:rsidR="006321AC">
        <w:t xml:space="preserve">is articulated through </w:t>
      </w:r>
      <w:r>
        <w:t xml:space="preserve">and intensifies </w:t>
      </w:r>
      <w:r w:rsidR="006321AC">
        <w:t xml:space="preserve">the </w:t>
      </w:r>
      <w:r>
        <w:t>stratification</w:t>
      </w:r>
      <w:r w:rsidR="006321AC">
        <w:t xml:space="preserve"> of HEIs</w:t>
      </w:r>
      <w:r>
        <w:t xml:space="preserve">. </w:t>
      </w:r>
      <w:r w:rsidR="006321AC">
        <w:t xml:space="preserve">This is one of the primary trends of the times. </w:t>
      </w:r>
      <w:r>
        <w:t xml:space="preserve">The creation of modernized </w:t>
      </w:r>
      <w:r w:rsidR="009750D6">
        <w:t xml:space="preserve">status </w:t>
      </w:r>
      <w:r>
        <w:t>aristocracies—</w:t>
      </w:r>
      <w:r w:rsidR="009750D6">
        <w:t>ostensibly</w:t>
      </w:r>
      <w:r>
        <w:t xml:space="preserve"> meritocratic, but strong enough to lock out new entrants, in the manner of the new oligarchs that took over </w:t>
      </w:r>
      <w:r w:rsidR="00B2130E">
        <w:t xml:space="preserve">post-Soviet </w:t>
      </w:r>
      <w:r>
        <w:t xml:space="preserve">Russia in the 1990s—seems to be a feature of high capitalism in this more global era. </w:t>
      </w:r>
      <w:r w:rsidR="002D3995">
        <w:t xml:space="preserve">The global market is not an all-in competition of HEIs. It is limited to </w:t>
      </w:r>
      <w:proofErr w:type="gramStart"/>
      <w:r w:rsidR="002D3995">
        <w:t>status</w:t>
      </w:r>
      <w:r w:rsidR="006321AC">
        <w:t>-bearing</w:t>
      </w:r>
      <w:proofErr w:type="gramEnd"/>
      <w:r w:rsidR="006321AC">
        <w:t xml:space="preserve"> research universities </w:t>
      </w:r>
      <w:r w:rsidR="002D3995">
        <w:t xml:space="preserve">able </w:t>
      </w:r>
      <w:r w:rsidR="006321AC">
        <w:t>to attract</w:t>
      </w:r>
      <w:r w:rsidR="002D3995">
        <w:t xml:space="preserve"> good quality </w:t>
      </w:r>
      <w:r w:rsidR="006321AC">
        <w:t xml:space="preserve">cross-border </w:t>
      </w:r>
      <w:r w:rsidR="002D3995">
        <w:t xml:space="preserve">students and research talent. The </w:t>
      </w:r>
      <w:proofErr w:type="gramStart"/>
      <w:r w:rsidR="002D3995">
        <w:t xml:space="preserve">outer limit </w:t>
      </w:r>
      <w:r w:rsidR="0018691B">
        <w:t xml:space="preserve">for this group </w:t>
      </w:r>
      <w:r w:rsidR="002D3995">
        <w:t xml:space="preserve">is suggested by the Academic Ranking of World Universities </w:t>
      </w:r>
      <w:r w:rsidR="0018691B">
        <w:t xml:space="preserve">(ARWU) </w:t>
      </w:r>
      <w:r w:rsidR="002D3995">
        <w:t>world top 500</w:t>
      </w:r>
      <w:r w:rsidR="0018691B">
        <w:t xml:space="preserve">, HEIs </w:t>
      </w:r>
      <w:r w:rsidR="006321AC">
        <w:t xml:space="preserve">seen to be in </w:t>
      </w:r>
      <w:r w:rsidR="0018691B">
        <w:t>the category ‘world class</w:t>
      </w:r>
      <w:r w:rsidR="006321AC">
        <w:t xml:space="preserve"> universities</w:t>
      </w:r>
      <w:r w:rsidR="0018691B">
        <w:t>’</w:t>
      </w:r>
      <w:proofErr w:type="gramEnd"/>
      <w:r w:rsidR="006321AC">
        <w:t xml:space="preserve"> (WCUs)</w:t>
      </w:r>
      <w:r>
        <w:t>. Perhaps the next layer of WCU aspirants could be added</w:t>
      </w:r>
      <w:r w:rsidR="006321AC">
        <w:t xml:space="preserve"> to the 500</w:t>
      </w:r>
      <w:r>
        <w:t xml:space="preserve">. </w:t>
      </w:r>
      <w:r w:rsidR="006321AC">
        <w:t>Note that p</w:t>
      </w:r>
      <w:r>
        <w:t>restige at national level is necessary but not sufficient for global prestige.</w:t>
      </w:r>
      <w:r w:rsidR="002D3995">
        <w:t xml:space="preserve"> </w:t>
      </w:r>
      <w:r w:rsidR="006321AC">
        <w:t>Research performance is the essential requirement for membership of this group. Many nations have no WCUs</w:t>
      </w:r>
      <w:r w:rsidR="00EB344C">
        <w:t>, or not enough,</w:t>
      </w:r>
      <w:r w:rsidR="006321AC">
        <w:t xml:space="preserve"> and this is </w:t>
      </w:r>
      <w:r w:rsidR="00EB344C">
        <w:t xml:space="preserve">driving increased investments in the top layer of national HEIs, at the expense of many teaching institutions and without regard for the balanced distribution of infrastructure across sub-national regions. </w:t>
      </w:r>
    </w:p>
    <w:p w14:paraId="3C7F093D" w14:textId="77777777" w:rsidR="006321AC" w:rsidRDefault="006321AC"/>
    <w:p w14:paraId="5AB58B18" w14:textId="77777777" w:rsidR="00157D0B" w:rsidRDefault="0018691B">
      <w:r>
        <w:t>However</w:t>
      </w:r>
      <w:r w:rsidR="003643B0">
        <w:t>,</w:t>
      </w:r>
      <w:r>
        <w:t xml:space="preserve"> </w:t>
      </w:r>
      <w:r w:rsidR="009750D6">
        <w:t>in global competition</w:t>
      </w:r>
      <w:r w:rsidR="002D3995">
        <w:t xml:space="preserve"> the main attention falls </w:t>
      </w:r>
      <w:r w:rsidR="00EB344C">
        <w:t xml:space="preserve">not on the top 500 but </w:t>
      </w:r>
      <w:r w:rsidR="002D3995">
        <w:t xml:space="preserve">on a </w:t>
      </w:r>
      <w:r w:rsidR="003643B0">
        <w:t xml:space="preserve">much </w:t>
      </w:r>
      <w:r w:rsidR="002D3995">
        <w:t xml:space="preserve">smaller </w:t>
      </w:r>
      <w:r w:rsidR="003643B0">
        <w:t>network of elite HEIs</w:t>
      </w:r>
      <w:r>
        <w:t xml:space="preserve">. Arguably, the </w:t>
      </w:r>
      <w:proofErr w:type="gramStart"/>
      <w:r>
        <w:t xml:space="preserve">global system is dominated by the top </w:t>
      </w:r>
      <w:r w:rsidR="00D859A5">
        <w:t>30-50</w:t>
      </w:r>
      <w:r>
        <w:t xml:space="preserve"> </w:t>
      </w:r>
      <w:r w:rsidR="009750D6">
        <w:t>‘</w:t>
      </w:r>
      <w:proofErr w:type="spellStart"/>
      <w:r w:rsidR="009750D6">
        <w:t>Superleague</w:t>
      </w:r>
      <w:proofErr w:type="spellEnd"/>
      <w:r w:rsidR="009750D6">
        <w:t xml:space="preserve">’ </w:t>
      </w:r>
      <w:r>
        <w:t>institutions</w:t>
      </w:r>
      <w:proofErr w:type="gramEnd"/>
      <w:r w:rsidR="009750D6">
        <w:t xml:space="preserve">, more than half </w:t>
      </w:r>
      <w:r w:rsidR="00EB344C">
        <w:t xml:space="preserve">of which are </w:t>
      </w:r>
      <w:r w:rsidR="009750D6">
        <w:t>located in the United States</w:t>
      </w:r>
      <w:r w:rsidR="002D3995">
        <w:t xml:space="preserve">. </w:t>
      </w:r>
      <w:r>
        <w:t xml:space="preserve">The advent of MOOCs suggests that </w:t>
      </w:r>
      <w:r w:rsidR="00705761">
        <w:t xml:space="preserve">even as research power becomes more pluralized in future, global </w:t>
      </w:r>
      <w:r>
        <w:t xml:space="preserve">market power </w:t>
      </w:r>
      <w:r w:rsidR="00EB344C">
        <w:t xml:space="preserve">will become </w:t>
      </w:r>
      <w:r w:rsidR="00705761">
        <w:t>yet</w:t>
      </w:r>
      <w:r w:rsidR="009750D6">
        <w:t xml:space="preserve"> more</w:t>
      </w:r>
      <w:r>
        <w:t xml:space="preserve"> concentrated in </w:t>
      </w:r>
      <w:r w:rsidR="00D859A5">
        <w:t>a</w:t>
      </w:r>
      <w:r>
        <w:t xml:space="preserve"> handful of </w:t>
      </w:r>
      <w:r w:rsidR="00D859A5">
        <w:t xml:space="preserve">high prestige </w:t>
      </w:r>
      <w:r>
        <w:t>Anglo-American</w:t>
      </w:r>
      <w:r w:rsidR="00EB344C">
        <w:t xml:space="preserve"> HEIs</w:t>
      </w:r>
      <w:r>
        <w:t xml:space="preserve"> </w:t>
      </w:r>
      <w:r w:rsidR="00705761">
        <w:t>that are able to leverage their research power and household name brands into global thought leadership</w:t>
      </w:r>
      <w:r w:rsidR="00D859A5">
        <w:t xml:space="preserve">. </w:t>
      </w:r>
      <w:r w:rsidR="003643B0">
        <w:t>MIT, Harvard and Stanford</w:t>
      </w:r>
      <w:r w:rsidR="00D859A5">
        <w:t xml:space="preserve"> </w:t>
      </w:r>
      <w:r w:rsidR="003643B0">
        <w:t>h</w:t>
      </w:r>
      <w:r w:rsidR="00D859A5">
        <w:t xml:space="preserve">ave shown they can </w:t>
      </w:r>
      <w:r w:rsidR="006677C2">
        <w:t>attract very</w:t>
      </w:r>
      <w:r w:rsidR="00D859A5">
        <w:t xml:space="preserve"> large MOOC </w:t>
      </w:r>
      <w:r w:rsidR="00B2130E">
        <w:t>number</w:t>
      </w:r>
      <w:r w:rsidR="00D859A5">
        <w:t>s.</w:t>
      </w:r>
      <w:r>
        <w:t xml:space="preserve"> Oxford and Cambridge could join </w:t>
      </w:r>
      <w:r w:rsidR="00D859A5">
        <w:t>them, perhaps in the lon</w:t>
      </w:r>
      <w:r w:rsidR="009750D6">
        <w:t>g</w:t>
      </w:r>
      <w:r w:rsidR="00705761">
        <w:t xml:space="preserve"> </w:t>
      </w:r>
      <w:r>
        <w:t>term Peking University</w:t>
      </w:r>
      <w:r w:rsidR="00D859A5">
        <w:t xml:space="preserve"> and </w:t>
      </w:r>
      <w:r w:rsidR="009750D6">
        <w:t>others</w:t>
      </w:r>
      <w:r w:rsidR="006677C2">
        <w:t xml:space="preserve">, but </w:t>
      </w:r>
      <w:r w:rsidR="009750D6">
        <w:t>th</w:t>
      </w:r>
      <w:r w:rsidR="006677C2">
        <w:t>e core of th</w:t>
      </w:r>
      <w:r w:rsidR="00705761">
        <w:t>e</w:t>
      </w:r>
      <w:r w:rsidR="00D859A5">
        <w:t xml:space="preserve"> ‘winner take all’ </w:t>
      </w:r>
      <w:r w:rsidR="006677C2">
        <w:t>competition</w:t>
      </w:r>
      <w:r w:rsidR="00D859A5">
        <w:t xml:space="preserve"> (Frank &amp; Cook, 1995) will </w:t>
      </w:r>
      <w:r w:rsidR="00B2130E">
        <w:t>remain small</w:t>
      </w:r>
      <w:r w:rsidR="00D859A5">
        <w:t xml:space="preserve">. </w:t>
      </w:r>
      <w:r w:rsidR="00705761">
        <w:t xml:space="preserve">These universities will exercise the cultural hegemony in higher education that Hollywood exercises in film. </w:t>
      </w:r>
      <w:r w:rsidR="006677C2">
        <w:t xml:space="preserve">The leading global HEIs </w:t>
      </w:r>
      <w:r w:rsidR="00B2130E">
        <w:t xml:space="preserve">already </w:t>
      </w:r>
      <w:r w:rsidR="006677C2">
        <w:t>overshadow</w:t>
      </w:r>
      <w:r w:rsidR="00EB344C">
        <w:t xml:space="preserve"> the</w:t>
      </w:r>
      <w:r w:rsidR="006677C2">
        <w:t xml:space="preserve"> second tier HE</w:t>
      </w:r>
      <w:r w:rsidR="00B2130E">
        <w:t>I</w:t>
      </w:r>
      <w:r w:rsidR="006677C2">
        <w:t xml:space="preserve">s. </w:t>
      </w:r>
      <w:r w:rsidR="00EB344C">
        <w:t>Note t</w:t>
      </w:r>
      <w:r w:rsidR="006677C2">
        <w:t xml:space="preserve">he political economy of </w:t>
      </w:r>
      <w:r w:rsidR="00EB344C">
        <w:t xml:space="preserve">the </w:t>
      </w:r>
      <w:r w:rsidR="006677C2">
        <w:t>free MOOC programs—</w:t>
      </w:r>
      <w:r w:rsidR="00EB344C">
        <w:t xml:space="preserve">these are </w:t>
      </w:r>
      <w:r w:rsidR="006677C2">
        <w:t xml:space="preserve">public goods in economic terms </w:t>
      </w:r>
      <w:r w:rsidR="00EB344C">
        <w:t>that</w:t>
      </w:r>
      <w:r w:rsidR="006677C2">
        <w:t xml:space="preserve"> enable </w:t>
      </w:r>
      <w:r w:rsidR="0088758A">
        <w:t>oligopolistic</w:t>
      </w:r>
      <w:r w:rsidR="006677C2">
        <w:t xml:space="preserve"> closure of the market</w:t>
      </w:r>
      <w:r w:rsidR="00705761">
        <w:t xml:space="preserve"> they create</w:t>
      </w:r>
      <w:r w:rsidR="00B2130E">
        <w:t xml:space="preserve">, </w:t>
      </w:r>
      <w:r w:rsidR="00EB344C">
        <w:t>while</w:t>
      </w:r>
      <w:r w:rsidR="00B2130E">
        <w:t xml:space="preserve"> complement</w:t>
      </w:r>
      <w:r w:rsidR="00EB344C">
        <w:t>ing</w:t>
      </w:r>
      <w:r w:rsidR="00B2130E">
        <w:t xml:space="preserve"> and substitut</w:t>
      </w:r>
      <w:r w:rsidR="00EB344C">
        <w:t>ing</w:t>
      </w:r>
      <w:r w:rsidR="00B2130E">
        <w:t xml:space="preserve"> </w:t>
      </w:r>
      <w:r w:rsidR="00022231">
        <w:t xml:space="preserve">for </w:t>
      </w:r>
      <w:r w:rsidR="00B2130E">
        <w:t>existing delivery</w:t>
      </w:r>
      <w:r w:rsidR="006677C2">
        <w:t>—</w:t>
      </w:r>
      <w:r w:rsidR="0088758A">
        <w:t>place</w:t>
      </w:r>
      <w:r w:rsidR="00EB344C">
        <w:t xml:space="preserve">s extreme cost pressures on </w:t>
      </w:r>
      <w:r w:rsidR="00022231">
        <w:t xml:space="preserve">lower </w:t>
      </w:r>
      <w:r w:rsidR="006677C2">
        <w:t>tier</w:t>
      </w:r>
      <w:r w:rsidR="00EB344C">
        <w:t xml:space="preserve"> HEI</w:t>
      </w:r>
      <w:r w:rsidR="00022231">
        <w:t>s</w:t>
      </w:r>
      <w:r w:rsidR="00EB344C">
        <w:t xml:space="preserve"> from both i</w:t>
      </w:r>
      <w:r w:rsidR="00705761">
        <w:t>nside and outside the existing form</w:t>
      </w:r>
      <w:r w:rsidR="00EB344C">
        <w:t>s of provision</w:t>
      </w:r>
      <w:r w:rsidR="006677C2">
        <w:t>.</w:t>
      </w:r>
      <w:r w:rsidR="004C694E">
        <w:t xml:space="preserve"> </w:t>
      </w:r>
    </w:p>
    <w:p w14:paraId="55FFEED2" w14:textId="77777777" w:rsidR="00157D0B" w:rsidRDefault="00157D0B"/>
    <w:p w14:paraId="5F1991FC" w14:textId="1DA5483F" w:rsidR="003F192B" w:rsidRDefault="004C694E">
      <w:r>
        <w:t>In the next 15 years th</w:t>
      </w:r>
      <w:r w:rsidR="00705761">
        <w:t>is</w:t>
      </w:r>
      <w:r>
        <w:t xml:space="preserve"> </w:t>
      </w:r>
      <w:r w:rsidR="00705761">
        <w:t>combination of market stratification and partial displacement of conventional delivery by free Internet-friendly ‘customer-</w:t>
      </w:r>
      <w:proofErr w:type="spellStart"/>
      <w:r w:rsidR="00705761">
        <w:t>centred</w:t>
      </w:r>
      <w:proofErr w:type="spellEnd"/>
      <w:r w:rsidR="00705761">
        <w:t xml:space="preserve">’ courseware platforms </w:t>
      </w:r>
      <w:r>
        <w:t xml:space="preserve">is likely to </w:t>
      </w:r>
      <w:r w:rsidR="00EB344C">
        <w:t xml:space="preserve">profoundly </w:t>
      </w:r>
      <w:r w:rsidR="00705761">
        <w:t>transform</w:t>
      </w:r>
      <w:r>
        <w:t xml:space="preserve"> </w:t>
      </w:r>
      <w:r w:rsidR="00705761">
        <w:t>higher education across the world</w:t>
      </w:r>
      <w:r>
        <w:t xml:space="preserve">. </w:t>
      </w:r>
      <w:r w:rsidR="00157D0B">
        <w:t>In future globalization will bite deeper. In higher education it will continue to be synonymous with (US) Americanization, though the rise of China and East Asia, and to a lesser extent modernizing Northwestern Europe and emerging Latin America, will begin to provide a welcome balance.</w:t>
      </w:r>
    </w:p>
    <w:p w14:paraId="60EF6BCD" w14:textId="77777777" w:rsidR="0004662A" w:rsidRDefault="0004662A" w:rsidP="00DB1770"/>
    <w:p w14:paraId="5C078E02" w14:textId="2C5D00D0" w:rsidR="0004662A" w:rsidRPr="0004662A" w:rsidRDefault="0004662A" w:rsidP="00DB1770">
      <w:pPr>
        <w:rPr>
          <w:b/>
        </w:rPr>
      </w:pPr>
      <w:r w:rsidRPr="0004662A">
        <w:rPr>
          <w:b/>
        </w:rPr>
        <w:t>Caveats and tensions</w:t>
      </w:r>
    </w:p>
    <w:p w14:paraId="28DFCA34" w14:textId="77777777" w:rsidR="0004662A" w:rsidRDefault="0004662A" w:rsidP="00DB1770"/>
    <w:p w14:paraId="06F4EFD3" w14:textId="496C52C3" w:rsidR="0004662A" w:rsidRDefault="00127E10" w:rsidP="00DB1770">
      <w:r>
        <w:t>Hence</w:t>
      </w:r>
      <w:r w:rsidR="00705761">
        <w:t xml:space="preserve"> the conventional </w:t>
      </w:r>
      <w:r>
        <w:t>picture</w:t>
      </w:r>
      <w:r w:rsidR="00705761">
        <w:t xml:space="preserve"> </w:t>
      </w:r>
      <w:r>
        <w:t>called up by the rankings—that of a</w:t>
      </w:r>
      <w:r w:rsidR="00705761">
        <w:t xml:space="preserve"> </w:t>
      </w:r>
      <w:r>
        <w:t>seamless single global</w:t>
      </w:r>
      <w:r w:rsidR="00705761">
        <w:t xml:space="preserve"> </w:t>
      </w:r>
      <w:r>
        <w:t xml:space="preserve">higher education </w:t>
      </w:r>
      <w:r w:rsidR="00705761">
        <w:t>market</w:t>
      </w:r>
      <w:r>
        <w:t>—must be qualified. An informal global hierarchy of the top 500-600 HEIs, led by the top 30-50 HEIs and dominated by the leading ten or so Anglo-American universities, is neither inclusive of nor in synchrony with each national system. There are significant tensions between national and global practices</w:t>
      </w:r>
      <w:r w:rsidR="00106BF4">
        <w:t xml:space="preserve"> </w:t>
      </w:r>
      <w:r>
        <w:t xml:space="preserve">and </w:t>
      </w:r>
      <w:r w:rsidR="00106BF4">
        <w:t xml:space="preserve">associated </w:t>
      </w:r>
      <w:r>
        <w:t xml:space="preserve">incongruities and gaps in regulation. </w:t>
      </w:r>
    </w:p>
    <w:p w14:paraId="56A89649" w14:textId="77777777" w:rsidR="00867AF8" w:rsidRDefault="00867AF8"/>
    <w:p w14:paraId="53737927" w14:textId="4112540A" w:rsidR="00BB45DF" w:rsidRDefault="007D0A47">
      <w:r>
        <w:t>1. N</w:t>
      </w:r>
      <w:r w:rsidR="00493267">
        <w:t xml:space="preserve">ational systems </w:t>
      </w:r>
      <w:r w:rsidR="00C73DB5">
        <w:t xml:space="preserve">and individual HEIs </w:t>
      </w:r>
      <w:r w:rsidR="00493267">
        <w:t>are unequal in their capacities in education</w:t>
      </w:r>
      <w:r w:rsidR="00C73DB5">
        <w:t>,</w:t>
      </w:r>
      <w:r w:rsidR="00493267">
        <w:t xml:space="preserve"> in research</w:t>
      </w:r>
      <w:r w:rsidR="00C73DB5">
        <w:t>, and hence their effectiveness within</w:t>
      </w:r>
      <w:r w:rsidR="00493267">
        <w:t xml:space="preserve"> </w:t>
      </w:r>
      <w:r w:rsidR="00C73DB5">
        <w:t xml:space="preserve">the world circuits of knowledge and people mobility. </w:t>
      </w:r>
      <w:r w:rsidR="004A0F4E">
        <w:t xml:space="preserve">There are now 49 </w:t>
      </w:r>
      <w:r w:rsidR="0050393B">
        <w:t xml:space="preserve">systems </w:t>
      </w:r>
      <w:r w:rsidR="004A0F4E">
        <w:t xml:space="preserve">that produce more than one thousand journal papers in the Web of Knowledge science literature each year (see Table 1). </w:t>
      </w:r>
      <w:r w:rsidR="0050393B">
        <w:t xml:space="preserve">One thousand papers </w:t>
      </w:r>
      <w:r w:rsidR="004A0F4E">
        <w:t xml:space="preserve">is a useful </w:t>
      </w:r>
      <w:r w:rsidR="0050393B">
        <w:t xml:space="preserve">proxy </w:t>
      </w:r>
      <w:r w:rsidR="004A0F4E">
        <w:t>for the presence of an indigenous research capacity</w:t>
      </w:r>
      <w:r w:rsidR="0050393B">
        <w:t>,</w:t>
      </w:r>
      <w:r w:rsidR="004A0F4E">
        <w:t xml:space="preserve"> including doctoral training in at least some fields. There were </w:t>
      </w:r>
      <w:r w:rsidR="0050393B">
        <w:t xml:space="preserve">just </w:t>
      </w:r>
      <w:r w:rsidR="004A0F4E">
        <w:t xml:space="preserve">38 such </w:t>
      </w:r>
      <w:r w:rsidR="0050393B">
        <w:t xml:space="preserve">systems in </w:t>
      </w:r>
      <w:r w:rsidR="004A0F4E">
        <w:t xml:space="preserve">1995. </w:t>
      </w:r>
      <w:r w:rsidR="0050393B">
        <w:t xml:space="preserve">So </w:t>
      </w:r>
      <w:r w:rsidR="00626E7E">
        <w:t xml:space="preserve">as noted, </w:t>
      </w:r>
      <w:r w:rsidR="0050393B">
        <w:t>research capacity is spreading</w:t>
      </w:r>
      <w:r w:rsidR="00AC1A44">
        <w:t xml:space="preserve">. </w:t>
      </w:r>
      <w:r w:rsidR="00BB45DF">
        <w:t>Yet</w:t>
      </w:r>
      <w:r w:rsidR="00AC1A44">
        <w:t xml:space="preserve"> this should not be overstated. The </w:t>
      </w:r>
      <w:r w:rsidR="00BB45DF">
        <w:t>main c</w:t>
      </w:r>
      <w:r w:rsidR="00AC1A44">
        <w:t>hange of the last 15 years is the rise of East Asia</w:t>
      </w:r>
      <w:r w:rsidR="00BB45DF">
        <w:t xml:space="preserve"> and to a much lesser extent Latin America</w:t>
      </w:r>
      <w:r w:rsidR="00AC1A44">
        <w:t xml:space="preserve">. </w:t>
      </w:r>
    </w:p>
    <w:p w14:paraId="6AC38532" w14:textId="77777777" w:rsidR="00CE2B28" w:rsidRDefault="00CE2B28"/>
    <w:p w14:paraId="01D99DAE" w14:textId="7A6366A9" w:rsidR="00493267" w:rsidRDefault="00493267">
      <w:r>
        <w:br w:type="page"/>
      </w:r>
    </w:p>
    <w:p w14:paraId="3B1A2F28" w14:textId="77777777" w:rsidR="00493267" w:rsidRPr="00493267" w:rsidRDefault="00493267" w:rsidP="00493267">
      <w:pPr>
        <w:rPr>
          <w:b/>
          <w:sz w:val="22"/>
        </w:rPr>
      </w:pPr>
      <w:r w:rsidRPr="00493267">
        <w:rPr>
          <w:b/>
          <w:sz w:val="22"/>
        </w:rPr>
        <w:t>Table 1.  Nations publishing more than one thousand science papers in 2009</w:t>
      </w:r>
    </w:p>
    <w:p w14:paraId="768FE898" w14:textId="77777777" w:rsidR="00493267" w:rsidRPr="00493267" w:rsidRDefault="00493267" w:rsidP="00493267"/>
    <w:tbl>
      <w:tblPr>
        <w:tblW w:w="9606" w:type="dxa"/>
        <w:tblBorders>
          <w:top w:val="single" w:sz="4" w:space="0" w:color="auto"/>
          <w:bottom w:val="single" w:sz="4" w:space="0" w:color="auto"/>
        </w:tblBorders>
        <w:tblLook w:val="00A0" w:firstRow="1" w:lastRow="0" w:firstColumn="1" w:lastColumn="0" w:noHBand="0" w:noVBand="0"/>
      </w:tblPr>
      <w:tblGrid>
        <w:gridCol w:w="1668"/>
        <w:gridCol w:w="1701"/>
        <w:gridCol w:w="1417"/>
        <w:gridCol w:w="1701"/>
        <w:gridCol w:w="1418"/>
        <w:gridCol w:w="1701"/>
      </w:tblGrid>
      <w:tr w:rsidR="00493267" w:rsidRPr="00493267" w14:paraId="37D75CAD" w14:textId="77777777" w:rsidTr="00213F93">
        <w:tc>
          <w:tcPr>
            <w:tcW w:w="1668" w:type="dxa"/>
            <w:tcBorders>
              <w:top w:val="single" w:sz="4" w:space="0" w:color="auto"/>
              <w:bottom w:val="single" w:sz="4" w:space="0" w:color="auto"/>
            </w:tcBorders>
          </w:tcPr>
          <w:p w14:paraId="09DB11F9" w14:textId="77777777" w:rsidR="00493267" w:rsidRPr="00493267" w:rsidRDefault="00493267" w:rsidP="00493267">
            <w:pPr>
              <w:rPr>
                <w:sz w:val="20"/>
              </w:rPr>
            </w:pPr>
            <w:r w:rsidRPr="00493267">
              <w:rPr>
                <w:sz w:val="20"/>
              </w:rPr>
              <w:t>ANGLO-SPHERE</w:t>
            </w:r>
          </w:p>
        </w:tc>
        <w:tc>
          <w:tcPr>
            <w:tcW w:w="1701" w:type="dxa"/>
            <w:tcBorders>
              <w:top w:val="single" w:sz="4" w:space="0" w:color="auto"/>
              <w:bottom w:val="single" w:sz="4" w:space="0" w:color="auto"/>
            </w:tcBorders>
          </w:tcPr>
          <w:p w14:paraId="344D2F96" w14:textId="77777777" w:rsidR="00493267" w:rsidRPr="00493267" w:rsidRDefault="00493267" w:rsidP="00493267">
            <w:pPr>
              <w:rPr>
                <w:sz w:val="20"/>
              </w:rPr>
            </w:pPr>
            <w:r w:rsidRPr="00493267">
              <w:rPr>
                <w:sz w:val="20"/>
              </w:rPr>
              <w:t>EUROPEAN UNION</w:t>
            </w:r>
          </w:p>
        </w:tc>
        <w:tc>
          <w:tcPr>
            <w:tcW w:w="1417" w:type="dxa"/>
            <w:tcBorders>
              <w:top w:val="single" w:sz="4" w:space="0" w:color="auto"/>
              <w:bottom w:val="single" w:sz="4" w:space="0" w:color="auto"/>
            </w:tcBorders>
          </w:tcPr>
          <w:p w14:paraId="102754D4" w14:textId="77777777" w:rsidR="00493267" w:rsidRPr="00493267" w:rsidRDefault="00493267" w:rsidP="00493267">
            <w:pPr>
              <w:rPr>
                <w:sz w:val="20"/>
              </w:rPr>
            </w:pPr>
            <w:r w:rsidRPr="00493267">
              <w:rPr>
                <w:sz w:val="20"/>
              </w:rPr>
              <w:t>NON-EU EUROPE</w:t>
            </w:r>
          </w:p>
          <w:p w14:paraId="4FEDF97E" w14:textId="77777777" w:rsidR="00493267" w:rsidRPr="00493267" w:rsidRDefault="00493267" w:rsidP="00493267">
            <w:pPr>
              <w:rPr>
                <w:sz w:val="20"/>
              </w:rPr>
            </w:pPr>
          </w:p>
        </w:tc>
        <w:tc>
          <w:tcPr>
            <w:tcW w:w="1701" w:type="dxa"/>
            <w:tcBorders>
              <w:top w:val="single" w:sz="4" w:space="0" w:color="auto"/>
              <w:bottom w:val="single" w:sz="4" w:space="0" w:color="auto"/>
            </w:tcBorders>
          </w:tcPr>
          <w:p w14:paraId="7789449E" w14:textId="77777777" w:rsidR="00493267" w:rsidRPr="00493267" w:rsidRDefault="00493267" w:rsidP="00493267">
            <w:pPr>
              <w:rPr>
                <w:sz w:val="20"/>
              </w:rPr>
            </w:pPr>
            <w:r w:rsidRPr="00493267">
              <w:rPr>
                <w:sz w:val="20"/>
              </w:rPr>
              <w:t>ASIA</w:t>
            </w:r>
          </w:p>
        </w:tc>
        <w:tc>
          <w:tcPr>
            <w:tcW w:w="1418" w:type="dxa"/>
            <w:tcBorders>
              <w:top w:val="single" w:sz="4" w:space="0" w:color="auto"/>
              <w:bottom w:val="single" w:sz="4" w:space="0" w:color="auto"/>
            </w:tcBorders>
          </w:tcPr>
          <w:p w14:paraId="681A462D" w14:textId="77777777" w:rsidR="00493267" w:rsidRPr="00493267" w:rsidRDefault="00493267" w:rsidP="00493267">
            <w:pPr>
              <w:rPr>
                <w:sz w:val="20"/>
              </w:rPr>
            </w:pPr>
            <w:r w:rsidRPr="00493267">
              <w:rPr>
                <w:sz w:val="20"/>
              </w:rPr>
              <w:t>LATIN AMERICA</w:t>
            </w:r>
          </w:p>
        </w:tc>
        <w:tc>
          <w:tcPr>
            <w:tcW w:w="1701" w:type="dxa"/>
            <w:tcBorders>
              <w:top w:val="single" w:sz="4" w:space="0" w:color="auto"/>
              <w:bottom w:val="single" w:sz="4" w:space="0" w:color="auto"/>
            </w:tcBorders>
          </w:tcPr>
          <w:p w14:paraId="53031206" w14:textId="77777777" w:rsidR="00493267" w:rsidRPr="00493267" w:rsidRDefault="00493267" w:rsidP="00493267">
            <w:pPr>
              <w:rPr>
                <w:sz w:val="20"/>
              </w:rPr>
            </w:pPr>
            <w:r w:rsidRPr="00493267">
              <w:rPr>
                <w:sz w:val="20"/>
              </w:rPr>
              <w:t>MID. EAST &amp; AFRICA</w:t>
            </w:r>
          </w:p>
        </w:tc>
      </w:tr>
      <w:tr w:rsidR="00493267" w:rsidRPr="00493267" w14:paraId="302FFCAC" w14:textId="77777777" w:rsidTr="00213F93">
        <w:tc>
          <w:tcPr>
            <w:tcW w:w="1668" w:type="dxa"/>
            <w:tcBorders>
              <w:top w:val="single" w:sz="4" w:space="0" w:color="auto"/>
            </w:tcBorders>
          </w:tcPr>
          <w:p w14:paraId="5C0B3349" w14:textId="77777777" w:rsidR="00493267" w:rsidRPr="00493267" w:rsidRDefault="00493267" w:rsidP="00493267">
            <w:pPr>
              <w:rPr>
                <w:sz w:val="18"/>
              </w:rPr>
            </w:pPr>
            <w:r w:rsidRPr="00493267">
              <w:rPr>
                <w:sz w:val="18"/>
              </w:rPr>
              <w:t>USA 206,601</w:t>
            </w:r>
          </w:p>
        </w:tc>
        <w:tc>
          <w:tcPr>
            <w:tcW w:w="1701" w:type="dxa"/>
            <w:tcBorders>
              <w:top w:val="single" w:sz="4" w:space="0" w:color="auto"/>
            </w:tcBorders>
          </w:tcPr>
          <w:p w14:paraId="34BB5A93" w14:textId="77777777" w:rsidR="00493267" w:rsidRPr="00493267" w:rsidRDefault="00493267" w:rsidP="00493267">
            <w:pPr>
              <w:rPr>
                <w:sz w:val="18"/>
              </w:rPr>
            </w:pPr>
            <w:r w:rsidRPr="00493267">
              <w:rPr>
                <w:sz w:val="18"/>
              </w:rPr>
              <w:t>Germany 45,003</w:t>
            </w:r>
          </w:p>
        </w:tc>
        <w:tc>
          <w:tcPr>
            <w:tcW w:w="1417" w:type="dxa"/>
            <w:tcBorders>
              <w:top w:val="single" w:sz="4" w:space="0" w:color="auto"/>
            </w:tcBorders>
          </w:tcPr>
          <w:p w14:paraId="128E9831" w14:textId="77777777" w:rsidR="00493267" w:rsidRPr="00493267" w:rsidRDefault="00493267" w:rsidP="00493267">
            <w:pPr>
              <w:rPr>
                <w:sz w:val="18"/>
              </w:rPr>
            </w:pPr>
            <w:r w:rsidRPr="00493267">
              <w:rPr>
                <w:sz w:val="18"/>
              </w:rPr>
              <w:t>Russia 14,016</w:t>
            </w:r>
          </w:p>
        </w:tc>
        <w:tc>
          <w:tcPr>
            <w:tcW w:w="1701" w:type="dxa"/>
            <w:tcBorders>
              <w:top w:val="single" w:sz="4" w:space="0" w:color="auto"/>
            </w:tcBorders>
          </w:tcPr>
          <w:p w14:paraId="03713AAA" w14:textId="77777777" w:rsidR="00493267" w:rsidRPr="00493267" w:rsidRDefault="00493267" w:rsidP="00493267">
            <w:pPr>
              <w:rPr>
                <w:sz w:val="18"/>
              </w:rPr>
            </w:pPr>
            <w:r w:rsidRPr="00493267">
              <w:rPr>
                <w:sz w:val="18"/>
              </w:rPr>
              <w:t>China 74,019</w:t>
            </w:r>
          </w:p>
        </w:tc>
        <w:tc>
          <w:tcPr>
            <w:tcW w:w="1418" w:type="dxa"/>
            <w:tcBorders>
              <w:top w:val="single" w:sz="4" w:space="0" w:color="auto"/>
            </w:tcBorders>
          </w:tcPr>
          <w:p w14:paraId="29E43B57" w14:textId="77777777" w:rsidR="00493267" w:rsidRPr="00493267" w:rsidRDefault="00493267" w:rsidP="00493267">
            <w:pPr>
              <w:rPr>
                <w:sz w:val="18"/>
              </w:rPr>
            </w:pPr>
            <w:r w:rsidRPr="00493267">
              <w:rPr>
                <w:sz w:val="18"/>
              </w:rPr>
              <w:t>Brazil 12,306</w:t>
            </w:r>
          </w:p>
        </w:tc>
        <w:tc>
          <w:tcPr>
            <w:tcW w:w="1701" w:type="dxa"/>
            <w:tcBorders>
              <w:top w:val="single" w:sz="4" w:space="0" w:color="auto"/>
            </w:tcBorders>
          </w:tcPr>
          <w:p w14:paraId="33C53932" w14:textId="77777777" w:rsidR="00493267" w:rsidRPr="00493267" w:rsidRDefault="00493267" w:rsidP="00493267">
            <w:pPr>
              <w:rPr>
                <w:sz w:val="18"/>
              </w:rPr>
            </w:pPr>
            <w:r w:rsidRPr="00493267">
              <w:rPr>
                <w:sz w:val="18"/>
              </w:rPr>
              <w:t>Iran 6313*</w:t>
            </w:r>
          </w:p>
        </w:tc>
      </w:tr>
      <w:tr w:rsidR="00493267" w:rsidRPr="00493267" w14:paraId="66A3ECA8" w14:textId="77777777" w:rsidTr="00213F93">
        <w:tc>
          <w:tcPr>
            <w:tcW w:w="1668" w:type="dxa"/>
          </w:tcPr>
          <w:p w14:paraId="3BFD0D3B" w14:textId="77777777" w:rsidR="00493267" w:rsidRPr="00493267" w:rsidRDefault="00493267" w:rsidP="00493267">
            <w:pPr>
              <w:rPr>
                <w:sz w:val="18"/>
              </w:rPr>
            </w:pPr>
            <w:r w:rsidRPr="00493267">
              <w:rPr>
                <w:sz w:val="18"/>
              </w:rPr>
              <w:t>UK 45,649</w:t>
            </w:r>
          </w:p>
        </w:tc>
        <w:tc>
          <w:tcPr>
            <w:tcW w:w="1701" w:type="dxa"/>
          </w:tcPr>
          <w:p w14:paraId="75F1537E" w14:textId="77777777" w:rsidR="00493267" w:rsidRPr="00493267" w:rsidRDefault="00493267" w:rsidP="00493267">
            <w:pPr>
              <w:rPr>
                <w:sz w:val="18"/>
              </w:rPr>
            </w:pPr>
            <w:r w:rsidRPr="00493267">
              <w:rPr>
                <w:sz w:val="18"/>
              </w:rPr>
              <w:t>France 31,748</w:t>
            </w:r>
          </w:p>
        </w:tc>
        <w:tc>
          <w:tcPr>
            <w:tcW w:w="1417" w:type="dxa"/>
          </w:tcPr>
          <w:p w14:paraId="461CF86B" w14:textId="08C8E287" w:rsidR="00493267" w:rsidRPr="00493267" w:rsidRDefault="00213F93" w:rsidP="00213F93">
            <w:pPr>
              <w:rPr>
                <w:sz w:val="18"/>
              </w:rPr>
            </w:pPr>
            <w:proofErr w:type="spellStart"/>
            <w:r>
              <w:rPr>
                <w:sz w:val="18"/>
              </w:rPr>
              <w:t>Switzerl</w:t>
            </w:r>
            <w:proofErr w:type="spellEnd"/>
            <w:r>
              <w:rPr>
                <w:sz w:val="18"/>
              </w:rPr>
              <w:t>.</w:t>
            </w:r>
            <w:r w:rsidR="00493267" w:rsidRPr="00493267">
              <w:rPr>
                <w:sz w:val="18"/>
              </w:rPr>
              <w:t xml:space="preserve"> 9469</w:t>
            </w:r>
          </w:p>
        </w:tc>
        <w:tc>
          <w:tcPr>
            <w:tcW w:w="1701" w:type="dxa"/>
          </w:tcPr>
          <w:p w14:paraId="6072ED39" w14:textId="77777777" w:rsidR="00493267" w:rsidRPr="00493267" w:rsidRDefault="00493267" w:rsidP="00493267">
            <w:pPr>
              <w:rPr>
                <w:sz w:val="18"/>
              </w:rPr>
            </w:pPr>
            <w:r w:rsidRPr="00493267">
              <w:rPr>
                <w:sz w:val="18"/>
              </w:rPr>
              <w:t>Japan 49,627</w:t>
            </w:r>
          </w:p>
        </w:tc>
        <w:tc>
          <w:tcPr>
            <w:tcW w:w="1418" w:type="dxa"/>
          </w:tcPr>
          <w:p w14:paraId="34038112" w14:textId="77777777" w:rsidR="00493267" w:rsidRPr="00493267" w:rsidRDefault="00493267" w:rsidP="00493267">
            <w:pPr>
              <w:rPr>
                <w:sz w:val="18"/>
              </w:rPr>
            </w:pPr>
            <w:r w:rsidRPr="00493267">
              <w:rPr>
                <w:sz w:val="18"/>
              </w:rPr>
              <w:t>Mexico 4123</w:t>
            </w:r>
          </w:p>
        </w:tc>
        <w:tc>
          <w:tcPr>
            <w:tcW w:w="1701" w:type="dxa"/>
          </w:tcPr>
          <w:p w14:paraId="057B4F75" w14:textId="77777777" w:rsidR="00493267" w:rsidRPr="00493267" w:rsidRDefault="00493267" w:rsidP="00493267">
            <w:pPr>
              <w:rPr>
                <w:sz w:val="18"/>
              </w:rPr>
            </w:pPr>
            <w:r w:rsidRPr="00493267">
              <w:rPr>
                <w:sz w:val="18"/>
              </w:rPr>
              <w:t>Israel 6304</w:t>
            </w:r>
          </w:p>
        </w:tc>
      </w:tr>
      <w:tr w:rsidR="00493267" w:rsidRPr="00493267" w14:paraId="75BF2C3F" w14:textId="77777777" w:rsidTr="00213F93">
        <w:tc>
          <w:tcPr>
            <w:tcW w:w="1668" w:type="dxa"/>
          </w:tcPr>
          <w:p w14:paraId="39BAC8DE" w14:textId="77777777" w:rsidR="00493267" w:rsidRPr="00493267" w:rsidRDefault="00493267" w:rsidP="00493267">
            <w:pPr>
              <w:rPr>
                <w:sz w:val="18"/>
              </w:rPr>
            </w:pPr>
            <w:r w:rsidRPr="00493267">
              <w:rPr>
                <w:sz w:val="18"/>
              </w:rPr>
              <w:t>Canada 29,017</w:t>
            </w:r>
          </w:p>
        </w:tc>
        <w:tc>
          <w:tcPr>
            <w:tcW w:w="1701" w:type="dxa"/>
          </w:tcPr>
          <w:p w14:paraId="4DB8AC56" w14:textId="77777777" w:rsidR="00493267" w:rsidRPr="00493267" w:rsidRDefault="00493267" w:rsidP="00493267">
            <w:pPr>
              <w:rPr>
                <w:sz w:val="18"/>
              </w:rPr>
            </w:pPr>
            <w:r w:rsidRPr="00493267">
              <w:rPr>
                <w:sz w:val="18"/>
              </w:rPr>
              <w:t>Italy 26,755</w:t>
            </w:r>
          </w:p>
        </w:tc>
        <w:tc>
          <w:tcPr>
            <w:tcW w:w="1417" w:type="dxa"/>
          </w:tcPr>
          <w:p w14:paraId="40B84838" w14:textId="77777777" w:rsidR="00493267" w:rsidRPr="00493267" w:rsidRDefault="00493267" w:rsidP="00493267">
            <w:pPr>
              <w:rPr>
                <w:sz w:val="18"/>
              </w:rPr>
            </w:pPr>
            <w:r w:rsidRPr="00493267">
              <w:rPr>
                <w:sz w:val="18"/>
              </w:rPr>
              <w:t>Turkey 8301</w:t>
            </w:r>
          </w:p>
        </w:tc>
        <w:tc>
          <w:tcPr>
            <w:tcW w:w="1701" w:type="dxa"/>
          </w:tcPr>
          <w:p w14:paraId="78B7522C" w14:textId="0CEBBB5E" w:rsidR="00493267" w:rsidRPr="00493267" w:rsidRDefault="00493267" w:rsidP="00493267">
            <w:pPr>
              <w:rPr>
                <w:sz w:val="18"/>
              </w:rPr>
            </w:pPr>
            <w:proofErr w:type="spellStart"/>
            <w:r w:rsidRPr="00493267">
              <w:rPr>
                <w:sz w:val="18"/>
              </w:rPr>
              <w:t>S</w:t>
            </w:r>
            <w:r>
              <w:rPr>
                <w:sz w:val="18"/>
              </w:rPr>
              <w:t>th</w:t>
            </w:r>
            <w:proofErr w:type="spellEnd"/>
            <w:r>
              <w:rPr>
                <w:sz w:val="18"/>
              </w:rPr>
              <w:t>.</w:t>
            </w:r>
            <w:r w:rsidRPr="00493267">
              <w:rPr>
                <w:sz w:val="18"/>
              </w:rPr>
              <w:t xml:space="preserve"> Korea 22,271</w:t>
            </w:r>
          </w:p>
        </w:tc>
        <w:tc>
          <w:tcPr>
            <w:tcW w:w="1418" w:type="dxa"/>
          </w:tcPr>
          <w:p w14:paraId="2BD86D47" w14:textId="77777777" w:rsidR="00493267" w:rsidRPr="00493267" w:rsidRDefault="00493267" w:rsidP="00493267">
            <w:pPr>
              <w:rPr>
                <w:sz w:val="18"/>
              </w:rPr>
            </w:pPr>
            <w:r w:rsidRPr="00493267">
              <w:rPr>
                <w:sz w:val="18"/>
              </w:rPr>
              <w:t>Argentina 3655</w:t>
            </w:r>
          </w:p>
        </w:tc>
        <w:tc>
          <w:tcPr>
            <w:tcW w:w="1701" w:type="dxa"/>
          </w:tcPr>
          <w:p w14:paraId="28E50A0C" w14:textId="44210751" w:rsidR="00493267" w:rsidRPr="00493267" w:rsidRDefault="00493267" w:rsidP="00493267">
            <w:pPr>
              <w:rPr>
                <w:sz w:val="18"/>
              </w:rPr>
            </w:pPr>
            <w:proofErr w:type="spellStart"/>
            <w:r>
              <w:rPr>
                <w:sz w:val="18"/>
              </w:rPr>
              <w:t>Sth</w:t>
            </w:r>
            <w:proofErr w:type="spellEnd"/>
            <w:r>
              <w:rPr>
                <w:sz w:val="18"/>
              </w:rPr>
              <w:t xml:space="preserve">. </w:t>
            </w:r>
            <w:r w:rsidRPr="00493267">
              <w:rPr>
                <w:sz w:val="18"/>
              </w:rPr>
              <w:t>Africa 2864</w:t>
            </w:r>
          </w:p>
        </w:tc>
      </w:tr>
      <w:tr w:rsidR="00493267" w:rsidRPr="00493267" w14:paraId="38F8252E" w14:textId="77777777" w:rsidTr="00213F93">
        <w:tc>
          <w:tcPr>
            <w:tcW w:w="1668" w:type="dxa"/>
          </w:tcPr>
          <w:p w14:paraId="42116E70" w14:textId="77777777" w:rsidR="00493267" w:rsidRPr="00493267" w:rsidRDefault="00493267" w:rsidP="00493267">
            <w:pPr>
              <w:rPr>
                <w:sz w:val="18"/>
              </w:rPr>
            </w:pPr>
            <w:r w:rsidRPr="00493267">
              <w:rPr>
                <w:sz w:val="18"/>
              </w:rPr>
              <w:t>Australia 18,923</w:t>
            </w:r>
          </w:p>
        </w:tc>
        <w:tc>
          <w:tcPr>
            <w:tcW w:w="1701" w:type="dxa"/>
          </w:tcPr>
          <w:p w14:paraId="31C69AC7" w14:textId="77777777" w:rsidR="00493267" w:rsidRPr="00493267" w:rsidRDefault="00493267" w:rsidP="00493267">
            <w:pPr>
              <w:rPr>
                <w:sz w:val="18"/>
              </w:rPr>
            </w:pPr>
            <w:r w:rsidRPr="00493267">
              <w:rPr>
                <w:sz w:val="18"/>
              </w:rPr>
              <w:t>Spain 21,543</w:t>
            </w:r>
          </w:p>
        </w:tc>
        <w:tc>
          <w:tcPr>
            <w:tcW w:w="1417" w:type="dxa"/>
          </w:tcPr>
          <w:p w14:paraId="2B2C80D6" w14:textId="77777777" w:rsidR="00493267" w:rsidRPr="00493267" w:rsidRDefault="00493267" w:rsidP="00493267">
            <w:pPr>
              <w:rPr>
                <w:sz w:val="18"/>
              </w:rPr>
            </w:pPr>
            <w:r w:rsidRPr="00493267">
              <w:rPr>
                <w:sz w:val="18"/>
              </w:rPr>
              <w:t>Norway 4440</w:t>
            </w:r>
          </w:p>
        </w:tc>
        <w:tc>
          <w:tcPr>
            <w:tcW w:w="1701" w:type="dxa"/>
          </w:tcPr>
          <w:p w14:paraId="65576296" w14:textId="77777777" w:rsidR="00493267" w:rsidRPr="00493267" w:rsidRDefault="00493267" w:rsidP="00493267">
            <w:pPr>
              <w:rPr>
                <w:sz w:val="18"/>
              </w:rPr>
            </w:pPr>
            <w:r w:rsidRPr="00493267">
              <w:rPr>
                <w:sz w:val="18"/>
              </w:rPr>
              <w:t>India 19,917</w:t>
            </w:r>
          </w:p>
        </w:tc>
        <w:tc>
          <w:tcPr>
            <w:tcW w:w="1418" w:type="dxa"/>
          </w:tcPr>
          <w:p w14:paraId="646E1451" w14:textId="77777777" w:rsidR="00493267" w:rsidRPr="00493267" w:rsidRDefault="00493267" w:rsidP="00493267">
            <w:pPr>
              <w:rPr>
                <w:sz w:val="18"/>
              </w:rPr>
            </w:pPr>
            <w:r w:rsidRPr="00493267">
              <w:rPr>
                <w:sz w:val="18"/>
              </w:rPr>
              <w:t>Chile 1868*</w:t>
            </w:r>
          </w:p>
        </w:tc>
        <w:tc>
          <w:tcPr>
            <w:tcW w:w="1701" w:type="dxa"/>
          </w:tcPr>
          <w:p w14:paraId="6E0E62FB" w14:textId="77777777" w:rsidR="00493267" w:rsidRPr="00493267" w:rsidRDefault="00493267" w:rsidP="00493267">
            <w:pPr>
              <w:rPr>
                <w:sz w:val="18"/>
              </w:rPr>
            </w:pPr>
            <w:r w:rsidRPr="00493267">
              <w:rPr>
                <w:sz w:val="18"/>
              </w:rPr>
              <w:t>Egypt 2247</w:t>
            </w:r>
          </w:p>
        </w:tc>
      </w:tr>
      <w:tr w:rsidR="00493267" w:rsidRPr="00493267" w14:paraId="6C03215C" w14:textId="77777777" w:rsidTr="00213F93">
        <w:tc>
          <w:tcPr>
            <w:tcW w:w="1668" w:type="dxa"/>
          </w:tcPr>
          <w:p w14:paraId="22B72211" w14:textId="77777777" w:rsidR="00493267" w:rsidRPr="00493267" w:rsidRDefault="00493267" w:rsidP="00493267">
            <w:pPr>
              <w:rPr>
                <w:sz w:val="18"/>
              </w:rPr>
            </w:pPr>
            <w:r w:rsidRPr="00493267">
              <w:rPr>
                <w:sz w:val="18"/>
              </w:rPr>
              <w:t>New Zealand 3188</w:t>
            </w:r>
          </w:p>
        </w:tc>
        <w:tc>
          <w:tcPr>
            <w:tcW w:w="1701" w:type="dxa"/>
          </w:tcPr>
          <w:p w14:paraId="66A29D2C" w14:textId="12002FA2" w:rsidR="00493267" w:rsidRPr="00493267" w:rsidRDefault="00493267" w:rsidP="00213F93">
            <w:pPr>
              <w:rPr>
                <w:sz w:val="18"/>
              </w:rPr>
            </w:pPr>
            <w:proofErr w:type="spellStart"/>
            <w:r w:rsidRPr="00493267">
              <w:rPr>
                <w:sz w:val="18"/>
              </w:rPr>
              <w:t>Netherl</w:t>
            </w:r>
            <w:r w:rsidR="00213F93">
              <w:rPr>
                <w:sz w:val="18"/>
              </w:rPr>
              <w:t>an</w:t>
            </w:r>
            <w:proofErr w:type="spellEnd"/>
            <w:r w:rsidR="00213F93">
              <w:rPr>
                <w:sz w:val="18"/>
              </w:rPr>
              <w:t>.</w:t>
            </w:r>
            <w:r w:rsidRPr="00493267">
              <w:rPr>
                <w:sz w:val="18"/>
              </w:rPr>
              <w:t xml:space="preserve"> 14,866</w:t>
            </w:r>
          </w:p>
        </w:tc>
        <w:tc>
          <w:tcPr>
            <w:tcW w:w="1417" w:type="dxa"/>
          </w:tcPr>
          <w:p w14:paraId="07748744" w14:textId="77777777" w:rsidR="00493267" w:rsidRPr="00493267" w:rsidRDefault="00493267" w:rsidP="00493267">
            <w:pPr>
              <w:rPr>
                <w:sz w:val="18"/>
              </w:rPr>
            </w:pPr>
            <w:r w:rsidRPr="00493267">
              <w:rPr>
                <w:sz w:val="18"/>
              </w:rPr>
              <w:t>Ukraine 1639</w:t>
            </w:r>
          </w:p>
        </w:tc>
        <w:tc>
          <w:tcPr>
            <w:tcW w:w="1701" w:type="dxa"/>
          </w:tcPr>
          <w:p w14:paraId="1C75ECDC" w14:textId="77777777" w:rsidR="00493267" w:rsidRPr="00493267" w:rsidRDefault="00493267" w:rsidP="00493267">
            <w:pPr>
              <w:rPr>
                <w:sz w:val="18"/>
              </w:rPr>
            </w:pPr>
            <w:r w:rsidRPr="00493267">
              <w:rPr>
                <w:sz w:val="18"/>
              </w:rPr>
              <w:t>Taiwan 14,000</w:t>
            </w:r>
          </w:p>
        </w:tc>
        <w:tc>
          <w:tcPr>
            <w:tcW w:w="1418" w:type="dxa"/>
          </w:tcPr>
          <w:p w14:paraId="730C6D64" w14:textId="77777777" w:rsidR="00493267" w:rsidRPr="00493267" w:rsidRDefault="00493267" w:rsidP="00493267">
            <w:pPr>
              <w:rPr>
                <w:sz w:val="18"/>
              </w:rPr>
            </w:pPr>
          </w:p>
        </w:tc>
        <w:tc>
          <w:tcPr>
            <w:tcW w:w="1701" w:type="dxa"/>
          </w:tcPr>
          <w:p w14:paraId="3ECD7B62" w14:textId="77777777" w:rsidR="00493267" w:rsidRPr="00493267" w:rsidRDefault="00493267" w:rsidP="00493267">
            <w:pPr>
              <w:rPr>
                <w:sz w:val="18"/>
              </w:rPr>
            </w:pPr>
            <w:r w:rsidRPr="00493267">
              <w:rPr>
                <w:sz w:val="18"/>
              </w:rPr>
              <w:t>Tunisia 1022*</w:t>
            </w:r>
          </w:p>
        </w:tc>
      </w:tr>
      <w:tr w:rsidR="00493267" w:rsidRPr="00493267" w14:paraId="480F272C" w14:textId="77777777" w:rsidTr="00213F93">
        <w:tc>
          <w:tcPr>
            <w:tcW w:w="1668" w:type="dxa"/>
          </w:tcPr>
          <w:p w14:paraId="4F23C08E" w14:textId="77777777" w:rsidR="00493267" w:rsidRPr="00493267" w:rsidRDefault="00493267" w:rsidP="00493267">
            <w:pPr>
              <w:rPr>
                <w:sz w:val="18"/>
              </w:rPr>
            </w:pPr>
          </w:p>
        </w:tc>
        <w:tc>
          <w:tcPr>
            <w:tcW w:w="1701" w:type="dxa"/>
          </w:tcPr>
          <w:p w14:paraId="299EE46C" w14:textId="77777777" w:rsidR="00493267" w:rsidRPr="00493267" w:rsidRDefault="00493267" w:rsidP="00493267">
            <w:pPr>
              <w:rPr>
                <w:sz w:val="18"/>
              </w:rPr>
            </w:pPr>
            <w:r w:rsidRPr="00493267">
              <w:rPr>
                <w:sz w:val="18"/>
              </w:rPr>
              <w:t>Sweden 9478</w:t>
            </w:r>
          </w:p>
        </w:tc>
        <w:tc>
          <w:tcPr>
            <w:tcW w:w="1417" w:type="dxa"/>
          </w:tcPr>
          <w:p w14:paraId="4FADDF19" w14:textId="77777777" w:rsidR="00493267" w:rsidRPr="00493267" w:rsidRDefault="00493267" w:rsidP="00493267">
            <w:pPr>
              <w:rPr>
                <w:sz w:val="18"/>
              </w:rPr>
            </w:pPr>
            <w:r w:rsidRPr="00493267">
              <w:rPr>
                <w:sz w:val="18"/>
              </w:rPr>
              <w:t>Serbia 1173*</w:t>
            </w:r>
          </w:p>
        </w:tc>
        <w:tc>
          <w:tcPr>
            <w:tcW w:w="1701" w:type="dxa"/>
          </w:tcPr>
          <w:p w14:paraId="5C549015" w14:textId="77777777" w:rsidR="00493267" w:rsidRPr="00493267" w:rsidRDefault="00493267" w:rsidP="00493267">
            <w:pPr>
              <w:rPr>
                <w:sz w:val="18"/>
              </w:rPr>
            </w:pPr>
            <w:r w:rsidRPr="00493267">
              <w:rPr>
                <w:sz w:val="18"/>
              </w:rPr>
              <w:t>Singapore 4169</w:t>
            </w:r>
          </w:p>
        </w:tc>
        <w:tc>
          <w:tcPr>
            <w:tcW w:w="1418" w:type="dxa"/>
          </w:tcPr>
          <w:p w14:paraId="332852D7" w14:textId="77777777" w:rsidR="00493267" w:rsidRPr="00493267" w:rsidRDefault="00493267" w:rsidP="00493267">
            <w:pPr>
              <w:rPr>
                <w:sz w:val="18"/>
              </w:rPr>
            </w:pPr>
          </w:p>
        </w:tc>
        <w:tc>
          <w:tcPr>
            <w:tcW w:w="1701" w:type="dxa"/>
          </w:tcPr>
          <w:p w14:paraId="2CFEDA73" w14:textId="77777777" w:rsidR="00493267" w:rsidRPr="00493267" w:rsidRDefault="00493267" w:rsidP="00493267">
            <w:pPr>
              <w:rPr>
                <w:sz w:val="18"/>
              </w:rPr>
            </w:pPr>
          </w:p>
        </w:tc>
      </w:tr>
      <w:tr w:rsidR="00493267" w:rsidRPr="00493267" w14:paraId="21CA3389" w14:textId="77777777" w:rsidTr="00213F93">
        <w:tc>
          <w:tcPr>
            <w:tcW w:w="1668" w:type="dxa"/>
          </w:tcPr>
          <w:p w14:paraId="085EA212" w14:textId="77777777" w:rsidR="00493267" w:rsidRPr="00493267" w:rsidRDefault="00493267" w:rsidP="00493267">
            <w:pPr>
              <w:rPr>
                <w:sz w:val="18"/>
              </w:rPr>
            </w:pPr>
          </w:p>
        </w:tc>
        <w:tc>
          <w:tcPr>
            <w:tcW w:w="1701" w:type="dxa"/>
          </w:tcPr>
          <w:p w14:paraId="317C5346" w14:textId="77777777" w:rsidR="00493267" w:rsidRPr="00493267" w:rsidRDefault="00493267" w:rsidP="00493267">
            <w:pPr>
              <w:rPr>
                <w:sz w:val="18"/>
              </w:rPr>
            </w:pPr>
            <w:r w:rsidRPr="00493267">
              <w:rPr>
                <w:sz w:val="18"/>
              </w:rPr>
              <w:t>Poland 7355</w:t>
            </w:r>
          </w:p>
        </w:tc>
        <w:tc>
          <w:tcPr>
            <w:tcW w:w="1417" w:type="dxa"/>
          </w:tcPr>
          <w:p w14:paraId="099369E4" w14:textId="77777777" w:rsidR="00493267" w:rsidRPr="00493267" w:rsidRDefault="00493267" w:rsidP="00493267">
            <w:pPr>
              <w:rPr>
                <w:sz w:val="18"/>
              </w:rPr>
            </w:pPr>
            <w:r w:rsidRPr="00493267">
              <w:rPr>
                <w:sz w:val="18"/>
              </w:rPr>
              <w:t>Croatia 1164*</w:t>
            </w:r>
          </w:p>
        </w:tc>
        <w:tc>
          <w:tcPr>
            <w:tcW w:w="1701" w:type="dxa"/>
          </w:tcPr>
          <w:p w14:paraId="775211E9" w14:textId="77777777" w:rsidR="00493267" w:rsidRPr="00493267" w:rsidRDefault="00493267" w:rsidP="00493267">
            <w:pPr>
              <w:rPr>
                <w:sz w:val="18"/>
              </w:rPr>
            </w:pPr>
            <w:r w:rsidRPr="00493267">
              <w:rPr>
                <w:sz w:val="18"/>
              </w:rPr>
              <w:t>Thailand 2033*</w:t>
            </w:r>
          </w:p>
        </w:tc>
        <w:tc>
          <w:tcPr>
            <w:tcW w:w="1418" w:type="dxa"/>
          </w:tcPr>
          <w:p w14:paraId="22861FCB" w14:textId="77777777" w:rsidR="00493267" w:rsidRPr="00493267" w:rsidRDefault="00493267" w:rsidP="00493267">
            <w:pPr>
              <w:rPr>
                <w:sz w:val="18"/>
              </w:rPr>
            </w:pPr>
          </w:p>
        </w:tc>
        <w:tc>
          <w:tcPr>
            <w:tcW w:w="1701" w:type="dxa"/>
          </w:tcPr>
          <w:p w14:paraId="0E7E63E0" w14:textId="77777777" w:rsidR="00493267" w:rsidRPr="00493267" w:rsidRDefault="00493267" w:rsidP="00493267">
            <w:pPr>
              <w:rPr>
                <w:sz w:val="18"/>
              </w:rPr>
            </w:pPr>
          </w:p>
        </w:tc>
      </w:tr>
      <w:tr w:rsidR="00493267" w:rsidRPr="00493267" w14:paraId="533361D3" w14:textId="77777777" w:rsidTr="00213F93">
        <w:tc>
          <w:tcPr>
            <w:tcW w:w="1668" w:type="dxa"/>
          </w:tcPr>
          <w:p w14:paraId="6527DA38" w14:textId="77777777" w:rsidR="00493267" w:rsidRPr="00493267" w:rsidRDefault="00493267" w:rsidP="00493267">
            <w:pPr>
              <w:rPr>
                <w:sz w:val="18"/>
              </w:rPr>
            </w:pPr>
          </w:p>
        </w:tc>
        <w:tc>
          <w:tcPr>
            <w:tcW w:w="1701" w:type="dxa"/>
          </w:tcPr>
          <w:p w14:paraId="44EB932D" w14:textId="77777777" w:rsidR="00493267" w:rsidRPr="00493267" w:rsidRDefault="00493267" w:rsidP="00493267">
            <w:pPr>
              <w:rPr>
                <w:sz w:val="18"/>
              </w:rPr>
            </w:pPr>
            <w:r w:rsidRPr="00493267">
              <w:rPr>
                <w:sz w:val="18"/>
              </w:rPr>
              <w:t>Belgium 7218</w:t>
            </w:r>
          </w:p>
        </w:tc>
        <w:tc>
          <w:tcPr>
            <w:tcW w:w="1417" w:type="dxa"/>
          </w:tcPr>
          <w:p w14:paraId="1C79F05A" w14:textId="77777777" w:rsidR="00493267" w:rsidRPr="00493267" w:rsidRDefault="00493267" w:rsidP="00493267">
            <w:pPr>
              <w:rPr>
                <w:sz w:val="18"/>
              </w:rPr>
            </w:pPr>
          </w:p>
        </w:tc>
        <w:tc>
          <w:tcPr>
            <w:tcW w:w="1701" w:type="dxa"/>
          </w:tcPr>
          <w:p w14:paraId="0D067FB8" w14:textId="77777777" w:rsidR="00493267" w:rsidRPr="00493267" w:rsidRDefault="00493267" w:rsidP="00493267">
            <w:pPr>
              <w:rPr>
                <w:sz w:val="18"/>
              </w:rPr>
            </w:pPr>
            <w:r w:rsidRPr="00493267">
              <w:rPr>
                <w:sz w:val="18"/>
              </w:rPr>
              <w:t>Malaysia 1351*</w:t>
            </w:r>
          </w:p>
        </w:tc>
        <w:tc>
          <w:tcPr>
            <w:tcW w:w="1418" w:type="dxa"/>
          </w:tcPr>
          <w:p w14:paraId="4D5E7336" w14:textId="77777777" w:rsidR="00493267" w:rsidRPr="00493267" w:rsidRDefault="00493267" w:rsidP="00493267">
            <w:pPr>
              <w:rPr>
                <w:sz w:val="18"/>
              </w:rPr>
            </w:pPr>
          </w:p>
        </w:tc>
        <w:tc>
          <w:tcPr>
            <w:tcW w:w="1701" w:type="dxa"/>
          </w:tcPr>
          <w:p w14:paraId="3B76AF64" w14:textId="77777777" w:rsidR="00493267" w:rsidRPr="00493267" w:rsidRDefault="00493267" w:rsidP="00493267">
            <w:pPr>
              <w:rPr>
                <w:sz w:val="18"/>
              </w:rPr>
            </w:pPr>
          </w:p>
        </w:tc>
      </w:tr>
      <w:tr w:rsidR="00493267" w:rsidRPr="00493267" w14:paraId="4DBF97B5" w14:textId="77777777" w:rsidTr="00213F93">
        <w:tc>
          <w:tcPr>
            <w:tcW w:w="1668" w:type="dxa"/>
          </w:tcPr>
          <w:p w14:paraId="753CB4F7" w14:textId="77777777" w:rsidR="00493267" w:rsidRPr="00493267" w:rsidRDefault="00493267" w:rsidP="00493267">
            <w:pPr>
              <w:rPr>
                <w:sz w:val="18"/>
              </w:rPr>
            </w:pPr>
          </w:p>
        </w:tc>
        <w:tc>
          <w:tcPr>
            <w:tcW w:w="1701" w:type="dxa"/>
          </w:tcPr>
          <w:p w14:paraId="34F7555A" w14:textId="77777777" w:rsidR="00493267" w:rsidRPr="00493267" w:rsidRDefault="00493267" w:rsidP="00493267">
            <w:pPr>
              <w:rPr>
                <w:sz w:val="18"/>
              </w:rPr>
            </w:pPr>
            <w:r w:rsidRPr="00493267">
              <w:rPr>
                <w:sz w:val="18"/>
              </w:rPr>
              <w:t>Denmark 5306</w:t>
            </w:r>
          </w:p>
        </w:tc>
        <w:tc>
          <w:tcPr>
            <w:tcW w:w="1417" w:type="dxa"/>
          </w:tcPr>
          <w:p w14:paraId="0F922DA6" w14:textId="77777777" w:rsidR="00493267" w:rsidRPr="00493267" w:rsidRDefault="00493267" w:rsidP="00493267">
            <w:pPr>
              <w:rPr>
                <w:sz w:val="18"/>
              </w:rPr>
            </w:pPr>
          </w:p>
        </w:tc>
        <w:tc>
          <w:tcPr>
            <w:tcW w:w="1701" w:type="dxa"/>
          </w:tcPr>
          <w:p w14:paraId="75EDE582" w14:textId="77777777" w:rsidR="00493267" w:rsidRPr="00493267" w:rsidRDefault="00493267" w:rsidP="00493267">
            <w:pPr>
              <w:rPr>
                <w:sz w:val="18"/>
              </w:rPr>
            </w:pPr>
            <w:r w:rsidRPr="00493267">
              <w:rPr>
                <w:sz w:val="18"/>
              </w:rPr>
              <w:t>Pakistan 1043*</w:t>
            </w:r>
          </w:p>
        </w:tc>
        <w:tc>
          <w:tcPr>
            <w:tcW w:w="1418" w:type="dxa"/>
          </w:tcPr>
          <w:p w14:paraId="428AB2DF" w14:textId="77777777" w:rsidR="00493267" w:rsidRPr="00493267" w:rsidRDefault="00493267" w:rsidP="00493267">
            <w:pPr>
              <w:rPr>
                <w:sz w:val="18"/>
              </w:rPr>
            </w:pPr>
          </w:p>
        </w:tc>
        <w:tc>
          <w:tcPr>
            <w:tcW w:w="1701" w:type="dxa"/>
          </w:tcPr>
          <w:p w14:paraId="5DFCFE96" w14:textId="77777777" w:rsidR="00493267" w:rsidRPr="00493267" w:rsidRDefault="00493267" w:rsidP="00493267">
            <w:pPr>
              <w:rPr>
                <w:sz w:val="18"/>
              </w:rPr>
            </w:pPr>
          </w:p>
        </w:tc>
      </w:tr>
      <w:tr w:rsidR="00493267" w:rsidRPr="00493267" w14:paraId="5FA36D11" w14:textId="77777777" w:rsidTr="00213F93">
        <w:tc>
          <w:tcPr>
            <w:tcW w:w="1668" w:type="dxa"/>
          </w:tcPr>
          <w:p w14:paraId="4A2BE514" w14:textId="77777777" w:rsidR="00493267" w:rsidRPr="00493267" w:rsidRDefault="00493267" w:rsidP="00493267">
            <w:pPr>
              <w:rPr>
                <w:sz w:val="18"/>
              </w:rPr>
            </w:pPr>
          </w:p>
        </w:tc>
        <w:tc>
          <w:tcPr>
            <w:tcW w:w="1701" w:type="dxa"/>
          </w:tcPr>
          <w:p w14:paraId="11000071" w14:textId="77777777" w:rsidR="00493267" w:rsidRPr="00493267" w:rsidRDefault="00493267" w:rsidP="00493267">
            <w:pPr>
              <w:rPr>
                <w:sz w:val="18"/>
              </w:rPr>
            </w:pPr>
            <w:r w:rsidRPr="00493267">
              <w:rPr>
                <w:sz w:val="18"/>
              </w:rPr>
              <w:t>Finland 4949</w:t>
            </w:r>
          </w:p>
        </w:tc>
        <w:tc>
          <w:tcPr>
            <w:tcW w:w="1417" w:type="dxa"/>
          </w:tcPr>
          <w:p w14:paraId="481DB02A" w14:textId="77777777" w:rsidR="00493267" w:rsidRPr="00493267" w:rsidRDefault="00493267" w:rsidP="00493267">
            <w:pPr>
              <w:rPr>
                <w:sz w:val="18"/>
              </w:rPr>
            </w:pPr>
          </w:p>
        </w:tc>
        <w:tc>
          <w:tcPr>
            <w:tcW w:w="1701" w:type="dxa"/>
          </w:tcPr>
          <w:p w14:paraId="35FC0F2E" w14:textId="77777777" w:rsidR="00493267" w:rsidRPr="00493267" w:rsidRDefault="00493267" w:rsidP="00493267">
            <w:pPr>
              <w:rPr>
                <w:sz w:val="18"/>
              </w:rPr>
            </w:pPr>
          </w:p>
        </w:tc>
        <w:tc>
          <w:tcPr>
            <w:tcW w:w="1418" w:type="dxa"/>
          </w:tcPr>
          <w:p w14:paraId="21DF1BF9" w14:textId="77777777" w:rsidR="00493267" w:rsidRPr="00493267" w:rsidRDefault="00493267" w:rsidP="00493267">
            <w:pPr>
              <w:rPr>
                <w:sz w:val="18"/>
              </w:rPr>
            </w:pPr>
          </w:p>
        </w:tc>
        <w:tc>
          <w:tcPr>
            <w:tcW w:w="1701" w:type="dxa"/>
          </w:tcPr>
          <w:p w14:paraId="0740E525" w14:textId="77777777" w:rsidR="00493267" w:rsidRPr="00493267" w:rsidRDefault="00493267" w:rsidP="00493267">
            <w:pPr>
              <w:rPr>
                <w:sz w:val="18"/>
              </w:rPr>
            </w:pPr>
          </w:p>
        </w:tc>
      </w:tr>
      <w:tr w:rsidR="00493267" w:rsidRPr="00493267" w14:paraId="160E35AF" w14:textId="77777777" w:rsidTr="00213F93">
        <w:tc>
          <w:tcPr>
            <w:tcW w:w="1668" w:type="dxa"/>
          </w:tcPr>
          <w:p w14:paraId="1B9C20F6" w14:textId="77777777" w:rsidR="00493267" w:rsidRPr="00493267" w:rsidRDefault="00493267" w:rsidP="00493267">
            <w:pPr>
              <w:rPr>
                <w:sz w:val="18"/>
              </w:rPr>
            </w:pPr>
          </w:p>
        </w:tc>
        <w:tc>
          <w:tcPr>
            <w:tcW w:w="1701" w:type="dxa"/>
          </w:tcPr>
          <w:p w14:paraId="4FA9338A" w14:textId="77777777" w:rsidR="00493267" w:rsidRPr="00493267" w:rsidRDefault="00493267" w:rsidP="00493267">
            <w:pPr>
              <w:rPr>
                <w:sz w:val="18"/>
              </w:rPr>
            </w:pPr>
            <w:r w:rsidRPr="00493267">
              <w:rPr>
                <w:sz w:val="18"/>
              </w:rPr>
              <w:t>Greece 4881</w:t>
            </w:r>
          </w:p>
        </w:tc>
        <w:tc>
          <w:tcPr>
            <w:tcW w:w="1417" w:type="dxa"/>
          </w:tcPr>
          <w:p w14:paraId="292B1B7D" w14:textId="77777777" w:rsidR="00493267" w:rsidRPr="00493267" w:rsidRDefault="00493267" w:rsidP="00493267">
            <w:pPr>
              <w:rPr>
                <w:sz w:val="18"/>
              </w:rPr>
            </w:pPr>
          </w:p>
        </w:tc>
        <w:tc>
          <w:tcPr>
            <w:tcW w:w="1701" w:type="dxa"/>
          </w:tcPr>
          <w:p w14:paraId="75CA4287" w14:textId="77777777" w:rsidR="00493267" w:rsidRPr="00493267" w:rsidRDefault="00493267" w:rsidP="00493267">
            <w:pPr>
              <w:rPr>
                <w:sz w:val="18"/>
              </w:rPr>
            </w:pPr>
          </w:p>
        </w:tc>
        <w:tc>
          <w:tcPr>
            <w:tcW w:w="1418" w:type="dxa"/>
          </w:tcPr>
          <w:p w14:paraId="6B67371E" w14:textId="77777777" w:rsidR="00493267" w:rsidRPr="00493267" w:rsidRDefault="00493267" w:rsidP="00493267">
            <w:pPr>
              <w:rPr>
                <w:sz w:val="18"/>
              </w:rPr>
            </w:pPr>
          </w:p>
        </w:tc>
        <w:tc>
          <w:tcPr>
            <w:tcW w:w="1701" w:type="dxa"/>
          </w:tcPr>
          <w:p w14:paraId="71BA6053" w14:textId="77777777" w:rsidR="00493267" w:rsidRPr="00493267" w:rsidRDefault="00493267" w:rsidP="00493267">
            <w:pPr>
              <w:rPr>
                <w:sz w:val="18"/>
              </w:rPr>
            </w:pPr>
          </w:p>
        </w:tc>
      </w:tr>
      <w:tr w:rsidR="00493267" w:rsidRPr="00493267" w14:paraId="6DB40145" w14:textId="77777777" w:rsidTr="00213F93">
        <w:tc>
          <w:tcPr>
            <w:tcW w:w="1668" w:type="dxa"/>
          </w:tcPr>
          <w:p w14:paraId="3A2E32D9" w14:textId="77777777" w:rsidR="00493267" w:rsidRPr="00493267" w:rsidRDefault="00493267" w:rsidP="00493267">
            <w:pPr>
              <w:rPr>
                <w:sz w:val="18"/>
              </w:rPr>
            </w:pPr>
          </w:p>
        </w:tc>
        <w:tc>
          <w:tcPr>
            <w:tcW w:w="1701" w:type="dxa"/>
          </w:tcPr>
          <w:p w14:paraId="1961721F" w14:textId="77777777" w:rsidR="00493267" w:rsidRPr="00493267" w:rsidRDefault="00493267" w:rsidP="00493267">
            <w:pPr>
              <w:rPr>
                <w:sz w:val="18"/>
              </w:rPr>
            </w:pPr>
            <w:r w:rsidRPr="00493267">
              <w:rPr>
                <w:sz w:val="18"/>
              </w:rPr>
              <w:t>Austria 4832</w:t>
            </w:r>
          </w:p>
        </w:tc>
        <w:tc>
          <w:tcPr>
            <w:tcW w:w="1417" w:type="dxa"/>
          </w:tcPr>
          <w:p w14:paraId="4A63C715" w14:textId="77777777" w:rsidR="00493267" w:rsidRPr="00493267" w:rsidRDefault="00493267" w:rsidP="00493267">
            <w:pPr>
              <w:rPr>
                <w:sz w:val="18"/>
              </w:rPr>
            </w:pPr>
          </w:p>
        </w:tc>
        <w:tc>
          <w:tcPr>
            <w:tcW w:w="1701" w:type="dxa"/>
          </w:tcPr>
          <w:p w14:paraId="70D956D4" w14:textId="77777777" w:rsidR="00493267" w:rsidRPr="00493267" w:rsidRDefault="00493267" w:rsidP="00493267">
            <w:pPr>
              <w:rPr>
                <w:sz w:val="18"/>
              </w:rPr>
            </w:pPr>
          </w:p>
        </w:tc>
        <w:tc>
          <w:tcPr>
            <w:tcW w:w="1418" w:type="dxa"/>
          </w:tcPr>
          <w:p w14:paraId="5CE4F9ED" w14:textId="77777777" w:rsidR="00493267" w:rsidRPr="00493267" w:rsidRDefault="00493267" w:rsidP="00493267">
            <w:pPr>
              <w:rPr>
                <w:sz w:val="18"/>
              </w:rPr>
            </w:pPr>
          </w:p>
        </w:tc>
        <w:tc>
          <w:tcPr>
            <w:tcW w:w="1701" w:type="dxa"/>
          </w:tcPr>
          <w:p w14:paraId="5754DD20" w14:textId="77777777" w:rsidR="00493267" w:rsidRPr="00493267" w:rsidRDefault="00493267" w:rsidP="00493267">
            <w:pPr>
              <w:rPr>
                <w:sz w:val="18"/>
              </w:rPr>
            </w:pPr>
          </w:p>
        </w:tc>
      </w:tr>
      <w:tr w:rsidR="00493267" w:rsidRPr="00493267" w14:paraId="0B8E44C7" w14:textId="77777777" w:rsidTr="00213F93">
        <w:tc>
          <w:tcPr>
            <w:tcW w:w="1668" w:type="dxa"/>
          </w:tcPr>
          <w:p w14:paraId="2DA19C71" w14:textId="77777777" w:rsidR="00493267" w:rsidRPr="00493267" w:rsidRDefault="00493267" w:rsidP="00493267">
            <w:pPr>
              <w:rPr>
                <w:sz w:val="18"/>
              </w:rPr>
            </w:pPr>
          </w:p>
        </w:tc>
        <w:tc>
          <w:tcPr>
            <w:tcW w:w="1701" w:type="dxa"/>
          </w:tcPr>
          <w:p w14:paraId="2BFB75F1" w14:textId="77777777" w:rsidR="00493267" w:rsidRPr="00493267" w:rsidRDefault="00493267" w:rsidP="00493267">
            <w:pPr>
              <w:rPr>
                <w:sz w:val="18"/>
              </w:rPr>
            </w:pPr>
            <w:r w:rsidRPr="00493267">
              <w:rPr>
                <w:sz w:val="18"/>
              </w:rPr>
              <w:t>Portugal 4157*</w:t>
            </w:r>
          </w:p>
        </w:tc>
        <w:tc>
          <w:tcPr>
            <w:tcW w:w="1417" w:type="dxa"/>
          </w:tcPr>
          <w:p w14:paraId="68E85EB0" w14:textId="77777777" w:rsidR="00493267" w:rsidRPr="00493267" w:rsidRDefault="00493267" w:rsidP="00493267">
            <w:pPr>
              <w:rPr>
                <w:sz w:val="18"/>
              </w:rPr>
            </w:pPr>
          </w:p>
        </w:tc>
        <w:tc>
          <w:tcPr>
            <w:tcW w:w="1701" w:type="dxa"/>
          </w:tcPr>
          <w:p w14:paraId="3585725C" w14:textId="77777777" w:rsidR="00493267" w:rsidRPr="00493267" w:rsidRDefault="00493267" w:rsidP="00493267">
            <w:pPr>
              <w:rPr>
                <w:sz w:val="18"/>
              </w:rPr>
            </w:pPr>
          </w:p>
        </w:tc>
        <w:tc>
          <w:tcPr>
            <w:tcW w:w="1418" w:type="dxa"/>
          </w:tcPr>
          <w:p w14:paraId="5B8106E4" w14:textId="77777777" w:rsidR="00493267" w:rsidRPr="00493267" w:rsidRDefault="00493267" w:rsidP="00493267">
            <w:pPr>
              <w:rPr>
                <w:sz w:val="18"/>
              </w:rPr>
            </w:pPr>
          </w:p>
        </w:tc>
        <w:tc>
          <w:tcPr>
            <w:tcW w:w="1701" w:type="dxa"/>
          </w:tcPr>
          <w:p w14:paraId="7FF24000" w14:textId="77777777" w:rsidR="00493267" w:rsidRPr="00493267" w:rsidRDefault="00493267" w:rsidP="00493267">
            <w:pPr>
              <w:rPr>
                <w:sz w:val="18"/>
              </w:rPr>
            </w:pPr>
          </w:p>
        </w:tc>
      </w:tr>
      <w:tr w:rsidR="00493267" w:rsidRPr="00493267" w14:paraId="106960B9" w14:textId="77777777" w:rsidTr="00213F93">
        <w:tc>
          <w:tcPr>
            <w:tcW w:w="1668" w:type="dxa"/>
          </w:tcPr>
          <w:p w14:paraId="6BF134AC" w14:textId="77777777" w:rsidR="00493267" w:rsidRPr="00493267" w:rsidRDefault="00493267" w:rsidP="00493267">
            <w:pPr>
              <w:rPr>
                <w:sz w:val="18"/>
              </w:rPr>
            </w:pPr>
          </w:p>
        </w:tc>
        <w:tc>
          <w:tcPr>
            <w:tcW w:w="1701" w:type="dxa"/>
          </w:tcPr>
          <w:p w14:paraId="1F7E9509" w14:textId="77777777" w:rsidR="00493267" w:rsidRPr="00493267" w:rsidRDefault="00493267" w:rsidP="00493267">
            <w:pPr>
              <w:rPr>
                <w:sz w:val="18"/>
              </w:rPr>
            </w:pPr>
            <w:r w:rsidRPr="00493267">
              <w:rPr>
                <w:sz w:val="18"/>
              </w:rPr>
              <w:t>Czech Rep. 3946</w:t>
            </w:r>
          </w:p>
        </w:tc>
        <w:tc>
          <w:tcPr>
            <w:tcW w:w="1417" w:type="dxa"/>
          </w:tcPr>
          <w:p w14:paraId="56283922" w14:textId="77777777" w:rsidR="00493267" w:rsidRPr="00493267" w:rsidRDefault="00493267" w:rsidP="00493267">
            <w:pPr>
              <w:rPr>
                <w:sz w:val="18"/>
              </w:rPr>
            </w:pPr>
          </w:p>
        </w:tc>
        <w:tc>
          <w:tcPr>
            <w:tcW w:w="1701" w:type="dxa"/>
          </w:tcPr>
          <w:p w14:paraId="6024B666" w14:textId="77777777" w:rsidR="00493267" w:rsidRPr="00493267" w:rsidRDefault="00493267" w:rsidP="00493267">
            <w:pPr>
              <w:rPr>
                <w:sz w:val="18"/>
              </w:rPr>
            </w:pPr>
          </w:p>
        </w:tc>
        <w:tc>
          <w:tcPr>
            <w:tcW w:w="1418" w:type="dxa"/>
          </w:tcPr>
          <w:p w14:paraId="7B765A37" w14:textId="77777777" w:rsidR="00493267" w:rsidRPr="00493267" w:rsidRDefault="00493267" w:rsidP="00493267">
            <w:pPr>
              <w:rPr>
                <w:sz w:val="18"/>
              </w:rPr>
            </w:pPr>
          </w:p>
        </w:tc>
        <w:tc>
          <w:tcPr>
            <w:tcW w:w="1701" w:type="dxa"/>
          </w:tcPr>
          <w:p w14:paraId="066FF728" w14:textId="77777777" w:rsidR="00493267" w:rsidRPr="00493267" w:rsidRDefault="00493267" w:rsidP="00493267">
            <w:pPr>
              <w:rPr>
                <w:sz w:val="18"/>
              </w:rPr>
            </w:pPr>
          </w:p>
        </w:tc>
      </w:tr>
      <w:tr w:rsidR="00493267" w:rsidRPr="00493267" w14:paraId="782EF52E" w14:textId="77777777" w:rsidTr="00213F93">
        <w:tc>
          <w:tcPr>
            <w:tcW w:w="1668" w:type="dxa"/>
          </w:tcPr>
          <w:p w14:paraId="35B04C9C" w14:textId="77777777" w:rsidR="00493267" w:rsidRPr="00493267" w:rsidRDefault="00493267" w:rsidP="00493267">
            <w:pPr>
              <w:rPr>
                <w:sz w:val="18"/>
              </w:rPr>
            </w:pPr>
          </w:p>
        </w:tc>
        <w:tc>
          <w:tcPr>
            <w:tcW w:w="1701" w:type="dxa"/>
          </w:tcPr>
          <w:p w14:paraId="4777C760" w14:textId="77777777" w:rsidR="00493267" w:rsidRPr="00493267" w:rsidRDefault="00493267" w:rsidP="00493267">
            <w:pPr>
              <w:rPr>
                <w:sz w:val="18"/>
              </w:rPr>
            </w:pPr>
            <w:r w:rsidRPr="00493267">
              <w:rPr>
                <w:sz w:val="18"/>
              </w:rPr>
              <w:t>Ireland 2799</w:t>
            </w:r>
          </w:p>
        </w:tc>
        <w:tc>
          <w:tcPr>
            <w:tcW w:w="1417" w:type="dxa"/>
          </w:tcPr>
          <w:p w14:paraId="59288B62" w14:textId="77777777" w:rsidR="00493267" w:rsidRPr="00493267" w:rsidRDefault="00493267" w:rsidP="00493267">
            <w:pPr>
              <w:rPr>
                <w:sz w:val="18"/>
              </w:rPr>
            </w:pPr>
          </w:p>
        </w:tc>
        <w:tc>
          <w:tcPr>
            <w:tcW w:w="1701" w:type="dxa"/>
          </w:tcPr>
          <w:p w14:paraId="037822D2" w14:textId="77777777" w:rsidR="00493267" w:rsidRPr="00493267" w:rsidRDefault="00493267" w:rsidP="00493267">
            <w:pPr>
              <w:rPr>
                <w:sz w:val="18"/>
              </w:rPr>
            </w:pPr>
          </w:p>
        </w:tc>
        <w:tc>
          <w:tcPr>
            <w:tcW w:w="1418" w:type="dxa"/>
          </w:tcPr>
          <w:p w14:paraId="32DC7B33" w14:textId="77777777" w:rsidR="00493267" w:rsidRPr="00493267" w:rsidRDefault="00493267" w:rsidP="00493267">
            <w:pPr>
              <w:rPr>
                <w:sz w:val="18"/>
              </w:rPr>
            </w:pPr>
          </w:p>
        </w:tc>
        <w:tc>
          <w:tcPr>
            <w:tcW w:w="1701" w:type="dxa"/>
          </w:tcPr>
          <w:p w14:paraId="4F6F341C" w14:textId="77777777" w:rsidR="00493267" w:rsidRPr="00493267" w:rsidRDefault="00493267" w:rsidP="00493267">
            <w:pPr>
              <w:rPr>
                <w:sz w:val="18"/>
              </w:rPr>
            </w:pPr>
          </w:p>
        </w:tc>
      </w:tr>
      <w:tr w:rsidR="00493267" w:rsidRPr="00493267" w14:paraId="31FAA941" w14:textId="77777777" w:rsidTr="00213F93">
        <w:tc>
          <w:tcPr>
            <w:tcW w:w="1668" w:type="dxa"/>
          </w:tcPr>
          <w:p w14:paraId="3C80CBD7" w14:textId="77777777" w:rsidR="00493267" w:rsidRPr="00493267" w:rsidRDefault="00493267" w:rsidP="00493267">
            <w:pPr>
              <w:rPr>
                <w:sz w:val="18"/>
              </w:rPr>
            </w:pPr>
          </w:p>
        </w:tc>
        <w:tc>
          <w:tcPr>
            <w:tcW w:w="1701" w:type="dxa"/>
          </w:tcPr>
          <w:p w14:paraId="3418C0C3" w14:textId="77777777" w:rsidR="00493267" w:rsidRPr="00493267" w:rsidRDefault="00493267" w:rsidP="00493267">
            <w:pPr>
              <w:rPr>
                <w:sz w:val="18"/>
              </w:rPr>
            </w:pPr>
            <w:r w:rsidRPr="00493267">
              <w:rPr>
                <w:sz w:val="18"/>
              </w:rPr>
              <w:t>Hungary 2397</w:t>
            </w:r>
          </w:p>
        </w:tc>
        <w:tc>
          <w:tcPr>
            <w:tcW w:w="1417" w:type="dxa"/>
          </w:tcPr>
          <w:p w14:paraId="34A7C185" w14:textId="77777777" w:rsidR="00493267" w:rsidRPr="00493267" w:rsidRDefault="00493267" w:rsidP="00493267">
            <w:pPr>
              <w:rPr>
                <w:sz w:val="18"/>
              </w:rPr>
            </w:pPr>
          </w:p>
        </w:tc>
        <w:tc>
          <w:tcPr>
            <w:tcW w:w="1701" w:type="dxa"/>
          </w:tcPr>
          <w:p w14:paraId="22B7EC80" w14:textId="77777777" w:rsidR="00493267" w:rsidRPr="00493267" w:rsidRDefault="00493267" w:rsidP="00493267">
            <w:pPr>
              <w:rPr>
                <w:sz w:val="18"/>
              </w:rPr>
            </w:pPr>
          </w:p>
        </w:tc>
        <w:tc>
          <w:tcPr>
            <w:tcW w:w="1418" w:type="dxa"/>
          </w:tcPr>
          <w:p w14:paraId="04F8B488" w14:textId="77777777" w:rsidR="00493267" w:rsidRPr="00493267" w:rsidRDefault="00493267" w:rsidP="00493267">
            <w:pPr>
              <w:rPr>
                <w:sz w:val="18"/>
              </w:rPr>
            </w:pPr>
          </w:p>
        </w:tc>
        <w:tc>
          <w:tcPr>
            <w:tcW w:w="1701" w:type="dxa"/>
          </w:tcPr>
          <w:p w14:paraId="54328A90" w14:textId="77777777" w:rsidR="00493267" w:rsidRPr="00493267" w:rsidRDefault="00493267" w:rsidP="00493267">
            <w:pPr>
              <w:rPr>
                <w:sz w:val="18"/>
              </w:rPr>
            </w:pPr>
          </w:p>
        </w:tc>
      </w:tr>
      <w:tr w:rsidR="00493267" w:rsidRPr="00493267" w14:paraId="51FD52D8" w14:textId="77777777" w:rsidTr="00213F93">
        <w:tc>
          <w:tcPr>
            <w:tcW w:w="1668" w:type="dxa"/>
          </w:tcPr>
          <w:p w14:paraId="783BEE83" w14:textId="77777777" w:rsidR="00493267" w:rsidRPr="00493267" w:rsidRDefault="00493267" w:rsidP="00493267">
            <w:pPr>
              <w:rPr>
                <w:sz w:val="18"/>
              </w:rPr>
            </w:pPr>
          </w:p>
        </w:tc>
        <w:tc>
          <w:tcPr>
            <w:tcW w:w="1701" w:type="dxa"/>
          </w:tcPr>
          <w:p w14:paraId="2E3A17DE" w14:textId="77777777" w:rsidR="00493267" w:rsidRPr="00493267" w:rsidRDefault="00493267" w:rsidP="00493267">
            <w:pPr>
              <w:rPr>
                <w:sz w:val="18"/>
              </w:rPr>
            </w:pPr>
            <w:r w:rsidRPr="00493267">
              <w:rPr>
                <w:sz w:val="18"/>
              </w:rPr>
              <w:t>Romania 1367*</w:t>
            </w:r>
          </w:p>
        </w:tc>
        <w:tc>
          <w:tcPr>
            <w:tcW w:w="1417" w:type="dxa"/>
          </w:tcPr>
          <w:p w14:paraId="05B2784B" w14:textId="77777777" w:rsidR="00493267" w:rsidRPr="00493267" w:rsidRDefault="00493267" w:rsidP="00493267">
            <w:pPr>
              <w:rPr>
                <w:sz w:val="18"/>
              </w:rPr>
            </w:pPr>
          </w:p>
        </w:tc>
        <w:tc>
          <w:tcPr>
            <w:tcW w:w="1701" w:type="dxa"/>
          </w:tcPr>
          <w:p w14:paraId="2ABD8427" w14:textId="77777777" w:rsidR="00493267" w:rsidRPr="00493267" w:rsidRDefault="00493267" w:rsidP="00493267">
            <w:pPr>
              <w:rPr>
                <w:sz w:val="18"/>
              </w:rPr>
            </w:pPr>
          </w:p>
        </w:tc>
        <w:tc>
          <w:tcPr>
            <w:tcW w:w="1418" w:type="dxa"/>
          </w:tcPr>
          <w:p w14:paraId="43839AC5" w14:textId="77777777" w:rsidR="00493267" w:rsidRPr="00493267" w:rsidRDefault="00493267" w:rsidP="00493267">
            <w:pPr>
              <w:rPr>
                <w:sz w:val="18"/>
              </w:rPr>
            </w:pPr>
          </w:p>
        </w:tc>
        <w:tc>
          <w:tcPr>
            <w:tcW w:w="1701" w:type="dxa"/>
          </w:tcPr>
          <w:p w14:paraId="2AD53FCD" w14:textId="77777777" w:rsidR="00493267" w:rsidRPr="00493267" w:rsidRDefault="00493267" w:rsidP="00493267">
            <w:pPr>
              <w:rPr>
                <w:sz w:val="18"/>
              </w:rPr>
            </w:pPr>
          </w:p>
        </w:tc>
      </w:tr>
      <w:tr w:rsidR="00493267" w:rsidRPr="00493267" w14:paraId="69677B94" w14:textId="77777777" w:rsidTr="00213F93">
        <w:tc>
          <w:tcPr>
            <w:tcW w:w="1668" w:type="dxa"/>
          </w:tcPr>
          <w:p w14:paraId="7E600B39" w14:textId="77777777" w:rsidR="00493267" w:rsidRPr="00493267" w:rsidRDefault="00493267" w:rsidP="00493267">
            <w:pPr>
              <w:rPr>
                <w:sz w:val="18"/>
              </w:rPr>
            </w:pPr>
          </w:p>
        </w:tc>
        <w:tc>
          <w:tcPr>
            <w:tcW w:w="1701" w:type="dxa"/>
          </w:tcPr>
          <w:p w14:paraId="459B72FB" w14:textId="77777777" w:rsidR="00493267" w:rsidRPr="00493267" w:rsidRDefault="00493267" w:rsidP="00493267">
            <w:pPr>
              <w:rPr>
                <w:sz w:val="18"/>
              </w:rPr>
            </w:pPr>
            <w:r w:rsidRPr="00493267">
              <w:rPr>
                <w:sz w:val="18"/>
              </w:rPr>
              <w:t>Slovenia 1234*</w:t>
            </w:r>
          </w:p>
        </w:tc>
        <w:tc>
          <w:tcPr>
            <w:tcW w:w="1417" w:type="dxa"/>
          </w:tcPr>
          <w:p w14:paraId="7796E8F6" w14:textId="77777777" w:rsidR="00493267" w:rsidRPr="00493267" w:rsidRDefault="00493267" w:rsidP="00493267">
            <w:pPr>
              <w:rPr>
                <w:sz w:val="18"/>
              </w:rPr>
            </w:pPr>
          </w:p>
        </w:tc>
        <w:tc>
          <w:tcPr>
            <w:tcW w:w="1701" w:type="dxa"/>
          </w:tcPr>
          <w:p w14:paraId="73742724" w14:textId="77777777" w:rsidR="00493267" w:rsidRPr="00493267" w:rsidRDefault="00493267" w:rsidP="00493267">
            <w:pPr>
              <w:rPr>
                <w:sz w:val="18"/>
              </w:rPr>
            </w:pPr>
          </w:p>
        </w:tc>
        <w:tc>
          <w:tcPr>
            <w:tcW w:w="1418" w:type="dxa"/>
          </w:tcPr>
          <w:p w14:paraId="4A0E80FF" w14:textId="77777777" w:rsidR="00493267" w:rsidRPr="00493267" w:rsidRDefault="00493267" w:rsidP="00493267">
            <w:pPr>
              <w:rPr>
                <w:sz w:val="18"/>
              </w:rPr>
            </w:pPr>
          </w:p>
        </w:tc>
        <w:tc>
          <w:tcPr>
            <w:tcW w:w="1701" w:type="dxa"/>
          </w:tcPr>
          <w:p w14:paraId="2977864A" w14:textId="77777777" w:rsidR="00493267" w:rsidRPr="00493267" w:rsidRDefault="00493267" w:rsidP="00493267">
            <w:pPr>
              <w:rPr>
                <w:sz w:val="18"/>
              </w:rPr>
            </w:pPr>
          </w:p>
        </w:tc>
      </w:tr>
      <w:tr w:rsidR="00493267" w:rsidRPr="00493267" w14:paraId="1941AF98" w14:textId="77777777" w:rsidTr="00213F93">
        <w:tc>
          <w:tcPr>
            <w:tcW w:w="1668" w:type="dxa"/>
          </w:tcPr>
          <w:p w14:paraId="41FCCD88" w14:textId="77777777" w:rsidR="00493267" w:rsidRPr="00493267" w:rsidRDefault="00493267" w:rsidP="00493267">
            <w:pPr>
              <w:rPr>
                <w:sz w:val="18"/>
              </w:rPr>
            </w:pPr>
          </w:p>
        </w:tc>
        <w:tc>
          <w:tcPr>
            <w:tcW w:w="1701" w:type="dxa"/>
          </w:tcPr>
          <w:p w14:paraId="1A65C269" w14:textId="77777777" w:rsidR="00493267" w:rsidRPr="00493267" w:rsidRDefault="00493267" w:rsidP="00493267">
            <w:pPr>
              <w:rPr>
                <w:sz w:val="18"/>
              </w:rPr>
            </w:pPr>
            <w:r w:rsidRPr="00493267">
              <w:rPr>
                <w:sz w:val="18"/>
              </w:rPr>
              <w:t>Slovakia 1000</w:t>
            </w:r>
          </w:p>
          <w:p w14:paraId="4CDFEE1E" w14:textId="77777777" w:rsidR="00493267" w:rsidRPr="00493267" w:rsidRDefault="00493267" w:rsidP="00493267">
            <w:pPr>
              <w:rPr>
                <w:sz w:val="18"/>
              </w:rPr>
            </w:pPr>
          </w:p>
        </w:tc>
        <w:tc>
          <w:tcPr>
            <w:tcW w:w="1417" w:type="dxa"/>
          </w:tcPr>
          <w:p w14:paraId="45BEC2AD" w14:textId="77777777" w:rsidR="00493267" w:rsidRPr="00493267" w:rsidRDefault="00493267" w:rsidP="00493267">
            <w:pPr>
              <w:rPr>
                <w:sz w:val="18"/>
              </w:rPr>
            </w:pPr>
          </w:p>
        </w:tc>
        <w:tc>
          <w:tcPr>
            <w:tcW w:w="1701" w:type="dxa"/>
          </w:tcPr>
          <w:p w14:paraId="423F2F27" w14:textId="77777777" w:rsidR="00493267" w:rsidRPr="00493267" w:rsidRDefault="00493267" w:rsidP="00493267">
            <w:pPr>
              <w:rPr>
                <w:sz w:val="18"/>
              </w:rPr>
            </w:pPr>
          </w:p>
        </w:tc>
        <w:tc>
          <w:tcPr>
            <w:tcW w:w="1418" w:type="dxa"/>
          </w:tcPr>
          <w:p w14:paraId="0D00CFE0" w14:textId="77777777" w:rsidR="00493267" w:rsidRPr="00493267" w:rsidRDefault="00493267" w:rsidP="00493267">
            <w:pPr>
              <w:rPr>
                <w:sz w:val="18"/>
              </w:rPr>
            </w:pPr>
          </w:p>
        </w:tc>
        <w:tc>
          <w:tcPr>
            <w:tcW w:w="1701" w:type="dxa"/>
          </w:tcPr>
          <w:p w14:paraId="73337CA5" w14:textId="77777777" w:rsidR="00493267" w:rsidRPr="00493267" w:rsidRDefault="00493267" w:rsidP="00493267">
            <w:pPr>
              <w:rPr>
                <w:sz w:val="18"/>
              </w:rPr>
            </w:pPr>
          </w:p>
        </w:tc>
      </w:tr>
    </w:tbl>
    <w:p w14:paraId="07FA1232" w14:textId="77777777" w:rsidR="00493267" w:rsidRPr="00493267" w:rsidRDefault="00493267" w:rsidP="00493267">
      <w:pPr>
        <w:rPr>
          <w:sz w:val="18"/>
        </w:rPr>
      </w:pPr>
    </w:p>
    <w:p w14:paraId="1F98AF94" w14:textId="77777777" w:rsidR="00493267" w:rsidRPr="00493267" w:rsidRDefault="00493267" w:rsidP="00493267">
      <w:pPr>
        <w:rPr>
          <w:sz w:val="18"/>
        </w:rPr>
      </w:pPr>
      <w:r w:rsidRPr="00493267">
        <w:rPr>
          <w:sz w:val="18"/>
        </w:rPr>
        <w:t xml:space="preserve">* = </w:t>
      </w:r>
      <w:proofErr w:type="gramStart"/>
      <w:r w:rsidRPr="00493267">
        <w:rPr>
          <w:sz w:val="18"/>
        </w:rPr>
        <w:t>countries</w:t>
      </w:r>
      <w:proofErr w:type="gramEnd"/>
      <w:r w:rsidRPr="00493267">
        <w:rPr>
          <w:sz w:val="18"/>
        </w:rPr>
        <w:t xml:space="preserve"> that have entered the one thousand papers group since 1995</w:t>
      </w:r>
    </w:p>
    <w:p w14:paraId="3F948912" w14:textId="77777777" w:rsidR="00493267" w:rsidRPr="00493267" w:rsidRDefault="00493267" w:rsidP="00493267">
      <w:pPr>
        <w:rPr>
          <w:sz w:val="18"/>
        </w:rPr>
      </w:pPr>
      <w:r w:rsidRPr="00493267">
        <w:rPr>
          <w:sz w:val="18"/>
        </w:rPr>
        <w:t>Source: adapted from NSF, 2012</w:t>
      </w:r>
    </w:p>
    <w:p w14:paraId="405B5C3E" w14:textId="77777777" w:rsidR="00493267" w:rsidRDefault="00493267" w:rsidP="00493267"/>
    <w:p w14:paraId="5BDF5072" w14:textId="77777777" w:rsidR="00106BF4" w:rsidRDefault="00106BF4" w:rsidP="00493267"/>
    <w:p w14:paraId="18997DFC" w14:textId="77777777" w:rsidR="00106BF4" w:rsidRDefault="00106BF4" w:rsidP="00106BF4">
      <w:r>
        <w:t xml:space="preserve">There is much talk about the BRIC countries (Brazil, Russia, India and China) but in higher education and science their trajectories are divergent. Only China is clearly an emerging superstar. China’s GDP will soon exceed the US and national income per head has doubled in the last five years. Total R&amp;D expenditure in China will pass the US in the next decade. Between 1995 and 2009 China’s academic journal papers per year jumped from 9061 to 74,019, a factor of 8.17. Higher education and research in Brazil are improving fast also, from a lower base and in a more fragmented system. </w:t>
      </w:r>
      <w:proofErr w:type="gramStart"/>
      <w:r>
        <w:t>Journal paper output multiplied by 3.58 between 1995 and 2009.</w:t>
      </w:r>
      <w:proofErr w:type="gramEnd"/>
      <w:r>
        <w:t xml:space="preserve"> The University of Sao Paulo is the world’s eighth largest in terms of journal paper output (Leiden, 2012). There is much talk about the knowledge economy in India but national policy has insufficient purchase in a country in which the states run education, public universities have yet to be fully modernized on new public management lines, and there is a long tail of mediocre small private colleges. After a long period of stagnation India’s output of journal papers has begun to climb. Volume multiplied by 2.13 between 1995 and 2009. In contrast, Russia’s science paper output fell from 18,604 in 1995, twice the size of China, to 14,016 in 2009, a factor of 0.75 (NSF, 2012). There are two Russian universities in the top 500 compared to 33 in China including Hong Kong. </w:t>
      </w:r>
    </w:p>
    <w:p w14:paraId="5382E4BE" w14:textId="77777777" w:rsidR="00106BF4" w:rsidRDefault="00106BF4" w:rsidP="00106BF4"/>
    <w:p w14:paraId="5F8E2FB4" w14:textId="77777777" w:rsidR="00106BF4" w:rsidRDefault="00106BF4" w:rsidP="00106BF4">
      <w:r>
        <w:t xml:space="preserve">The majority of sovereign nations still lack an indigenous science system and their own research-intensive universities. This position will become more depowering over time, unless it is corrected. But science is expensive, particularly given that a science system is not viable unless salaries are high enough to persuade at least the most committed experts to stay in the country. There is a close correlation between national income and capacity in science. </w:t>
      </w:r>
      <w:r w:rsidRPr="00716CE5">
        <w:t xml:space="preserve">Of the Shanghai top 200 only </w:t>
      </w:r>
      <w:r>
        <w:t>eight</w:t>
      </w:r>
      <w:r w:rsidRPr="00716CE5">
        <w:t xml:space="preserve"> are in countries with a per capita Gross National Income of under $25,000 USD a year: mainland China, Russia, Brazil, Argentina and Mexico. </w:t>
      </w:r>
      <w:r>
        <w:t>China</w:t>
      </w:r>
      <w:r w:rsidRPr="00716CE5">
        <w:t xml:space="preserve"> has </w:t>
      </w:r>
      <w:r>
        <w:t>four universities</w:t>
      </w:r>
      <w:r w:rsidRPr="00716CE5">
        <w:t xml:space="preserve"> in the top 200</w:t>
      </w:r>
      <w:r>
        <w:t>, located in zones much wealthier than the national average. The other countries have one university</w:t>
      </w:r>
      <w:r w:rsidRPr="00716CE5">
        <w:t xml:space="preserve">. </w:t>
      </w:r>
      <w:r>
        <w:t xml:space="preserve">The poorest countries in </w:t>
      </w:r>
      <w:r w:rsidRPr="00716CE5">
        <w:t>the Shanghai top 500</w:t>
      </w:r>
      <w:r>
        <w:t xml:space="preserve"> are </w:t>
      </w:r>
      <w:proofErr w:type="gramStart"/>
      <w:r>
        <w:t>mainland</w:t>
      </w:r>
      <w:proofErr w:type="gramEnd"/>
      <w:r>
        <w:t xml:space="preserve"> </w:t>
      </w:r>
      <w:r w:rsidRPr="00716CE5">
        <w:t>China,</w:t>
      </w:r>
      <w:r>
        <w:t xml:space="preserve"> with 28 universities, Brazil (6) and Iran (1) </w:t>
      </w:r>
      <w:r w:rsidRPr="00716CE5">
        <w:t xml:space="preserve">where </w:t>
      </w:r>
      <w:r>
        <w:t xml:space="preserve">national </w:t>
      </w:r>
      <w:r w:rsidRPr="00716CE5">
        <w:t xml:space="preserve">income is </w:t>
      </w:r>
      <w:r>
        <w:t>at</w:t>
      </w:r>
      <w:r w:rsidRPr="00716CE5">
        <w:t xml:space="preserve"> the </w:t>
      </w:r>
      <w:r>
        <w:t xml:space="preserve">world </w:t>
      </w:r>
      <w:r w:rsidRPr="00716CE5">
        <w:t>average, Egypt</w:t>
      </w:r>
      <w:r>
        <w:t xml:space="preserve"> (1) and India (1)</w:t>
      </w:r>
      <w:r w:rsidRPr="00716CE5">
        <w:t xml:space="preserve">. Where research performance is improving it is </w:t>
      </w:r>
      <w:r>
        <w:t xml:space="preserve">strongly government </w:t>
      </w:r>
      <w:r w:rsidRPr="00716CE5">
        <w:t xml:space="preserve">investment driven, as in </w:t>
      </w:r>
      <w:r>
        <w:t xml:space="preserve">China, </w:t>
      </w:r>
      <w:r w:rsidRPr="00716CE5">
        <w:t>Chile</w:t>
      </w:r>
      <w:r>
        <w:t>, Iran</w:t>
      </w:r>
      <w:r w:rsidRPr="00716CE5">
        <w:t xml:space="preserve"> and Brazil.</w:t>
      </w:r>
      <w:r>
        <w:t xml:space="preserve"> </w:t>
      </w:r>
    </w:p>
    <w:p w14:paraId="6CC8EEB2" w14:textId="77777777" w:rsidR="00106BF4" w:rsidRDefault="00106BF4" w:rsidP="00106BF4"/>
    <w:p w14:paraId="7EA21964" w14:textId="77777777" w:rsidR="0086047F" w:rsidRDefault="007D0A47" w:rsidP="00106BF4">
      <w:r>
        <w:t xml:space="preserve">2. </w:t>
      </w:r>
      <w:r w:rsidR="0086047F">
        <w:t>N</w:t>
      </w:r>
      <w:r w:rsidR="00106BF4">
        <w:t xml:space="preserve">ations are unequal in their commitment to global networking, openness and proactivity. Arguably, all national systems and HEIs need to sustain a distinctive identity within the global setting. At the same time all nations and HEIs need to engage: those not fully effective within the global conversation are slower to receive new knowledge and less able to shape the cross-border environment through their own actions. They become more determined than determining. Nevertheless, for many nations and HEIs global engagement carries with it the risk of being swamped by influences coming in from outside. For nations with weak capacity, that risk is maximized. </w:t>
      </w:r>
      <w:r w:rsidR="00A47340">
        <w:t xml:space="preserve">In </w:t>
      </w:r>
      <w:r w:rsidR="00106BF4">
        <w:t xml:space="preserve">nations with higher capacity that remain parochial and inner-referenced, capacity </w:t>
      </w:r>
      <w:r w:rsidR="00A47340">
        <w:t>is</w:t>
      </w:r>
      <w:r w:rsidR="00106BF4">
        <w:t xml:space="preserve"> under-developed</w:t>
      </w:r>
      <w:r w:rsidR="00A47340">
        <w:t>. A present</w:t>
      </w:r>
      <w:r w:rsidR="00106BF4">
        <w:t xml:space="preserve"> example is higher education in Russia, but there are part blockages to cross-border mobility in many systems. </w:t>
      </w:r>
      <w:r w:rsidR="0086047F">
        <w:t xml:space="preserve">There are visceral global/national tensions, between global engagement and knowledge economy objectives on one hand, and more nation-bound (and even pre-modern) agendas on the other. </w:t>
      </w:r>
    </w:p>
    <w:p w14:paraId="5977824B" w14:textId="77777777" w:rsidR="0086047F" w:rsidRDefault="0086047F" w:rsidP="00106BF4"/>
    <w:p w14:paraId="737A087D" w14:textId="12BF6733" w:rsidR="00106BF4" w:rsidRDefault="0086047F" w:rsidP="00106BF4">
      <w:r>
        <w:t>One example is blockages in relation to inward movement</w:t>
      </w:r>
      <w:r w:rsidR="000D17EB">
        <w:t>s</w:t>
      </w:r>
      <w:r>
        <w:t xml:space="preserve"> of foreign faculty</w:t>
      </w:r>
      <w:r w:rsidR="00CB4064">
        <w:t>,</w:t>
      </w:r>
      <w:r>
        <w:t xml:space="preserve"> </w:t>
      </w:r>
      <w:r w:rsidR="000D17EB">
        <w:t xml:space="preserve">which are </w:t>
      </w:r>
      <w:r>
        <w:t xml:space="preserve">hampered by rules governing visas and citizenship, by </w:t>
      </w:r>
      <w:r w:rsidR="00305E66">
        <w:t>protectionist career structures</w:t>
      </w:r>
      <w:r>
        <w:t xml:space="preserve">, and by the inability of </w:t>
      </w:r>
      <w:r w:rsidR="000D17EB">
        <w:t>many HEI</w:t>
      </w:r>
      <w:r>
        <w:t xml:space="preserve">s to offer competitive salaries. </w:t>
      </w:r>
      <w:r w:rsidR="00305E66">
        <w:t>High skill researchers and international students are central elements in government strategies and essential to HEIs with global ambitions. Yet i</w:t>
      </w:r>
      <w:r>
        <w:t>n a globalizing setting, immigration policy is fraught. There is an antagonistic contradiction between the principles of free cross-border movement and national sovereignty; and between the Hobbesian autarky of the system of sovereign states, and the fact of global interdependence of nations. There is no way of effectively reconciling these contradictory elements within the weak multilateral framework that regulates formal international relations.</w:t>
      </w:r>
    </w:p>
    <w:p w14:paraId="59FAFE07" w14:textId="77777777" w:rsidR="00305E66" w:rsidRDefault="00305E66" w:rsidP="00106BF4"/>
    <w:p w14:paraId="0CF04B55" w14:textId="16077E4F" w:rsidR="00305E66" w:rsidRDefault="00CB4064" w:rsidP="00106BF4">
      <w:r>
        <w:rPr>
          <w:rFonts w:cs="Times New Roman"/>
          <w:lang w:val="en-GB"/>
        </w:rPr>
        <w:t xml:space="preserve">More generally, the national framework of citizenship </w:t>
      </w:r>
      <w:r w:rsidR="00A84FD7">
        <w:rPr>
          <w:rFonts w:cs="Times New Roman"/>
          <w:lang w:val="en-GB"/>
        </w:rPr>
        <w:t>cannot</w:t>
      </w:r>
      <w:r>
        <w:rPr>
          <w:rFonts w:cs="Times New Roman"/>
          <w:lang w:val="en-GB"/>
        </w:rPr>
        <w:t xml:space="preserve"> provide effectively for the human rights or the welfare needs of mobile populations. This becomes a greater problem in relation to international students than faculty, because the average student has less material resources</w:t>
      </w:r>
      <w:r w:rsidR="00A84FD7">
        <w:rPr>
          <w:rFonts w:cs="Times New Roman"/>
          <w:lang w:val="en-GB"/>
        </w:rPr>
        <w:t xml:space="preserve"> (Marginson at al., 2010)</w:t>
      </w:r>
      <w:r>
        <w:rPr>
          <w:rFonts w:cs="Times New Roman"/>
          <w:lang w:val="en-GB"/>
        </w:rPr>
        <w:t>.  C</w:t>
      </w:r>
      <w:r w:rsidR="000D17EB" w:rsidRPr="00353AFD">
        <w:rPr>
          <w:rFonts w:cs="Times New Roman"/>
          <w:lang w:val="en-GB"/>
        </w:rPr>
        <w:t>ross-border international students are located in a ‘</w:t>
      </w:r>
      <w:proofErr w:type="spellStart"/>
      <w:r w:rsidR="000D17EB" w:rsidRPr="00353AFD">
        <w:rPr>
          <w:rFonts w:cs="Times New Roman"/>
          <w:lang w:val="en-GB"/>
        </w:rPr>
        <w:t>gray</w:t>
      </w:r>
      <w:proofErr w:type="spellEnd"/>
      <w:r w:rsidR="000D17EB" w:rsidRPr="00353AFD">
        <w:rPr>
          <w:rFonts w:cs="Times New Roman"/>
          <w:lang w:val="en-GB"/>
        </w:rPr>
        <w:t xml:space="preserve"> zone’ of regulation with incomplete security and capabilities. Like other mobile persons such as short-term business and labour entrants, and refugees, </w:t>
      </w:r>
      <w:r>
        <w:rPr>
          <w:rFonts w:cs="Times New Roman"/>
          <w:lang w:val="en-GB"/>
        </w:rPr>
        <w:t>they</w:t>
      </w:r>
      <w:r w:rsidR="000D17EB" w:rsidRPr="00353AFD">
        <w:rPr>
          <w:rFonts w:cs="Times New Roman"/>
          <w:lang w:val="en-GB"/>
        </w:rPr>
        <w:t xml:space="preserve"> do not enjoy the same protections and </w:t>
      </w:r>
      <w:proofErr w:type="gramStart"/>
      <w:r w:rsidR="000D17EB" w:rsidRPr="00353AFD">
        <w:rPr>
          <w:rFonts w:cs="Times New Roman"/>
          <w:lang w:val="en-GB"/>
        </w:rPr>
        <w:t>entitlements</w:t>
      </w:r>
      <w:proofErr w:type="gramEnd"/>
      <w:r w:rsidR="000D17EB" w:rsidRPr="00353AFD">
        <w:rPr>
          <w:rFonts w:cs="Times New Roman"/>
          <w:lang w:val="en-GB"/>
        </w:rPr>
        <w:t xml:space="preserve"> as do </w:t>
      </w:r>
      <w:r>
        <w:rPr>
          <w:rFonts w:cs="Times New Roman"/>
          <w:lang w:val="en-GB"/>
        </w:rPr>
        <w:t xml:space="preserve">local </w:t>
      </w:r>
      <w:r w:rsidR="000D17EB" w:rsidRPr="00353AFD">
        <w:rPr>
          <w:rFonts w:cs="Times New Roman"/>
          <w:lang w:val="en-GB"/>
        </w:rPr>
        <w:t xml:space="preserve">citizens. </w:t>
      </w:r>
      <w:r>
        <w:rPr>
          <w:rFonts w:cs="Times New Roman"/>
          <w:lang w:val="en-GB"/>
        </w:rPr>
        <w:t xml:space="preserve">Nor are they effectively protected by their own national governments while on foreign soil. </w:t>
      </w:r>
      <w:r w:rsidR="000D17EB" w:rsidRPr="00353AFD">
        <w:rPr>
          <w:rFonts w:cs="Times New Roman"/>
          <w:lang w:val="en-GB"/>
        </w:rPr>
        <w:t>International students are affected by two different national regulatory regimes, in the nations of citizenship and of education</w:t>
      </w:r>
      <w:r>
        <w:rPr>
          <w:rFonts w:cs="Times New Roman"/>
          <w:lang w:val="en-GB"/>
        </w:rPr>
        <w:t>, yet they are</w:t>
      </w:r>
      <w:r w:rsidR="000D17EB" w:rsidRPr="00353AFD">
        <w:rPr>
          <w:rFonts w:cs="Times New Roman"/>
          <w:lang w:val="en-GB"/>
        </w:rPr>
        <w:t xml:space="preserve"> fully covered by neither. Their position is vulnerable and uncertain, mediated by non-citizen status and the related facts of cultural difference, information asymmetry and communication difficulties. </w:t>
      </w:r>
      <w:r>
        <w:rPr>
          <w:rFonts w:cs="Times New Roman"/>
          <w:lang w:val="en-GB"/>
        </w:rPr>
        <w:t>Their</w:t>
      </w:r>
      <w:r w:rsidR="000D17EB" w:rsidRPr="00353AFD">
        <w:rPr>
          <w:rFonts w:cs="Times New Roman"/>
          <w:lang w:val="en-GB"/>
        </w:rPr>
        <w:t xml:space="preserve"> subordinated outsider status magnifies the </w:t>
      </w:r>
      <w:r>
        <w:rPr>
          <w:rFonts w:cs="Times New Roman"/>
          <w:lang w:val="en-GB"/>
        </w:rPr>
        <w:t xml:space="preserve">welfare </w:t>
      </w:r>
      <w:r w:rsidR="000D17EB" w:rsidRPr="00353AFD">
        <w:rPr>
          <w:rFonts w:cs="Times New Roman"/>
          <w:lang w:val="en-GB"/>
        </w:rPr>
        <w:t>problems they face</w:t>
      </w:r>
      <w:r>
        <w:rPr>
          <w:rFonts w:cs="Times New Roman"/>
          <w:lang w:val="en-GB"/>
        </w:rPr>
        <w:t>, including the potentials for social isolation or discrimination</w:t>
      </w:r>
      <w:r w:rsidR="000D17EB" w:rsidRPr="00353AFD">
        <w:rPr>
          <w:rFonts w:cs="Times New Roman"/>
          <w:lang w:val="en-GB"/>
        </w:rPr>
        <w:t>.</w:t>
      </w:r>
      <w:r>
        <w:rPr>
          <w:rFonts w:cs="Times New Roman"/>
          <w:lang w:val="en-GB"/>
        </w:rPr>
        <w:t xml:space="preserve"> Here the universal promise of the UN Declaration of Human Rights collapses; and the tension is exacerbated, rather than modified, as global integration increases. Nor can global market forces substitute for the absent global polity. Many nations need international students for economic reasons but it is plain that status is insufficient to protect the welfare of students, let alone guarantee their rights. </w:t>
      </w:r>
    </w:p>
    <w:p w14:paraId="2BA49DEB" w14:textId="77777777" w:rsidR="00106BF4" w:rsidRDefault="00106BF4" w:rsidP="00106BF4"/>
    <w:p w14:paraId="0D225C54" w14:textId="42427D38" w:rsidR="00106BF4" w:rsidRDefault="007D0A47" w:rsidP="00106BF4">
      <w:r>
        <w:t>3. The</w:t>
      </w:r>
      <w:r w:rsidR="00106BF4">
        <w:t xml:space="preserve"> policy actions called up by global rankings are not necessarily the same as the policy actions called up by </w:t>
      </w:r>
      <w:r w:rsidR="00C75B42">
        <w:t xml:space="preserve">national needs according to the logic of the knowledge </w:t>
      </w:r>
      <w:proofErr w:type="gramStart"/>
      <w:r w:rsidR="00C75B42">
        <w:t>economy.</w:t>
      </w:r>
      <w:proofErr w:type="gramEnd"/>
      <w:r w:rsidR="00C75B42">
        <w:t xml:space="preserve"> </w:t>
      </w:r>
      <w:r w:rsidR="005272E2">
        <w:t xml:space="preserve">There is a clear tension between a global market competition model and national policies designed to further the public good, but there is also national/ global conflict within the market model itself. </w:t>
      </w:r>
      <w:r w:rsidR="00C75B42">
        <w:t xml:space="preserve">The knowledge economy argument suggests a research and educational capacity effectively distributed across </w:t>
      </w:r>
      <w:r w:rsidR="00A44C22">
        <w:t xml:space="preserve">sub-national </w:t>
      </w:r>
      <w:r w:rsidR="00C75B42">
        <w:t>regions</w:t>
      </w:r>
      <w:r w:rsidR="00A44C22">
        <w:t xml:space="preserve">, and an emphasis on local engagement with industry </w:t>
      </w:r>
      <w:r w:rsidR="005272E2">
        <w:t>(</w:t>
      </w:r>
      <w:r w:rsidR="00A44C22">
        <w:t>and community</w:t>
      </w:r>
      <w:r w:rsidR="005272E2">
        <w:t>)</w:t>
      </w:r>
      <w:r w:rsidR="00A44C22">
        <w:t>. On this criterion Canada, Australia, Germany, the Netherlands and the Nordic countries have strong systems. As noted, global rankings suggest research concentration</w:t>
      </w:r>
      <w:r w:rsidR="005272E2">
        <w:t xml:space="preserve"> and stratification, </w:t>
      </w:r>
      <w:r w:rsidR="00A44C22">
        <w:t xml:space="preserve">less commitment to </w:t>
      </w:r>
      <w:r w:rsidR="005272E2">
        <w:t xml:space="preserve">local </w:t>
      </w:r>
      <w:proofErr w:type="spellStart"/>
      <w:r w:rsidR="005272E2">
        <w:t>embeddedness</w:t>
      </w:r>
      <w:proofErr w:type="spellEnd"/>
      <w:r w:rsidR="005272E2">
        <w:t xml:space="preserve"> and the </w:t>
      </w:r>
      <w:r w:rsidR="00A44C22">
        <w:t>even distribution of capacity</w:t>
      </w:r>
      <w:r w:rsidR="0042073B">
        <w:t>, and a more cavalier approach to the quality of mass higher education</w:t>
      </w:r>
      <w:r w:rsidR="00A44C22">
        <w:t xml:space="preserve">. The US and </w:t>
      </w:r>
      <w:r w:rsidR="0042073B">
        <w:t xml:space="preserve">perhaps </w:t>
      </w:r>
      <w:r w:rsidR="00A44C22">
        <w:t xml:space="preserve">emerging China look better on this criterion. France and Germany plan to move their systems closer to the second model. The UK has combined the two forms though its capacity to do so may reduce given funding constraints. </w:t>
      </w:r>
    </w:p>
    <w:p w14:paraId="1A34F23D" w14:textId="77777777" w:rsidR="0042073B" w:rsidRDefault="0042073B" w:rsidP="00106BF4"/>
    <w:p w14:paraId="3C88F273" w14:textId="11E56A71" w:rsidR="0086047F" w:rsidRDefault="0086047F" w:rsidP="0086047F">
      <w:r>
        <w:t xml:space="preserve">4. As noted, quality assurance is a weak technology. From the point of view of system managers in government it cannot guarantee adequate surveillance or a consistent pattern of measurable improvement, unless it becomes more externally driven and more invasive of the autonomy of HEIs. But this </w:t>
      </w:r>
      <w:r w:rsidR="00BE31CD">
        <w:t xml:space="preserve">not only conflicts with the language of autonomy, devolution and self-regulation that permeates the QA world, it </w:t>
      </w:r>
      <w:r>
        <w:t>conflicts with the Hayek-Schumpeter policy logic of entrepreneurs and market evolution</w:t>
      </w:r>
      <w:r w:rsidR="00BE31CD">
        <w:t xml:space="preserve"> that underlies the new public management. While this tension is not new it is more difficult to resolve in a globalizing setting</w:t>
      </w:r>
      <w:r>
        <w:t xml:space="preserve">. </w:t>
      </w:r>
    </w:p>
    <w:p w14:paraId="6CCA053C" w14:textId="77777777" w:rsidR="0086047F" w:rsidRDefault="0086047F" w:rsidP="0086047F"/>
    <w:p w14:paraId="02E71532" w14:textId="335B6A8F" w:rsidR="00CB4064" w:rsidRDefault="0086047F" w:rsidP="00106BF4">
      <w:r>
        <w:t>5</w:t>
      </w:r>
      <w:r w:rsidR="007D0A47">
        <w:t>. If</w:t>
      </w:r>
      <w:r w:rsidR="0042073B">
        <w:t xml:space="preserve"> governments begin to sense that the knowledge economy claims are weak, in relation to the alleged benefits of mass higher education and/or basic research—especially the claims made about the building of global capacity—the present emphases on higher education and basic science </w:t>
      </w:r>
      <w:r w:rsidR="007D0A47">
        <w:t xml:space="preserve">will </w:t>
      </w:r>
      <w:r w:rsidR="0042073B">
        <w:t xml:space="preserve">falter. Already in the Westminster systems of the UK and </w:t>
      </w:r>
      <w:r w:rsidR="007D0A47">
        <w:t>Australia</w:t>
      </w:r>
      <w:r w:rsidR="0042073B">
        <w:t xml:space="preserve"> there are signs the national </w:t>
      </w:r>
      <w:r w:rsidR="007D0A47">
        <w:t>Treasury</w:t>
      </w:r>
      <w:r w:rsidR="0042073B">
        <w:t xml:space="preserve"> departments that call the shots are skeptical about the benefits o</w:t>
      </w:r>
      <w:r w:rsidR="007D0A47">
        <w:t xml:space="preserve">f increased public investment. Others may follow. The focus on basic research which is called up by global rankings is vulnerable to the argument that what really matters is </w:t>
      </w:r>
      <w:proofErr w:type="spellStart"/>
      <w:r w:rsidR="007D0A47">
        <w:t>commercializable</w:t>
      </w:r>
      <w:proofErr w:type="spellEnd"/>
      <w:r w:rsidR="007D0A47">
        <w:t xml:space="preserve"> innovation, and the links between basic research and innovation are weak. Another </w:t>
      </w:r>
      <w:r w:rsidR="002B4C74">
        <w:t xml:space="preserve">policy </w:t>
      </w:r>
      <w:r w:rsidR="007D0A47">
        <w:t>problem is leakage of the findings of commercially useful research to foreign rather than national corporations. Governments are stepping up development of measures of the ‘impact’ of research to strengthen the research-innovation nexus</w:t>
      </w:r>
      <w:r w:rsidR="00BE31CD">
        <w:t>,</w:t>
      </w:r>
      <w:r w:rsidR="007D0A47">
        <w:t xml:space="preserve"> but the actual relationship is too attenuated, indirect and conditional on external factors. Attempts to engineer a policy technology based on ‘impact’ will not succeed and this will reinforce disillusionment with </w:t>
      </w:r>
      <w:r w:rsidR="005272E2">
        <w:t xml:space="preserve">the outcomes of </w:t>
      </w:r>
      <w:r w:rsidR="007D0A47">
        <w:t xml:space="preserve">public investment. </w:t>
      </w:r>
    </w:p>
    <w:p w14:paraId="7F105F79" w14:textId="77777777" w:rsidR="00CB4064" w:rsidRDefault="00CB4064" w:rsidP="00106BF4"/>
    <w:p w14:paraId="7C3DD065" w14:textId="074ECA15" w:rsidR="0042073B" w:rsidRDefault="005272E2" w:rsidP="00106BF4">
      <w:r>
        <w:t xml:space="preserve">Just as the 1960s policy euphoria about building human capital collapsed into policy disillusionment in the 1970s, the present enthusiasm about the knowledge economy and WCUs will pass. What goes up must come down. </w:t>
      </w:r>
      <w:r w:rsidR="002B4C74">
        <w:t xml:space="preserve">It is impossible for nations to exit from global engagement and competition. It is possible for them to pursue their global ambitions detached from the knowledge economy agenda and through sectors other than formal higher education and public science. And the early success of the MOOCs suggests it is possible for an attenuated version of the knowledge economy to substitute for HEIs, especially if alternate mechanisms for status production and codified knowledge emerge. </w:t>
      </w:r>
    </w:p>
    <w:p w14:paraId="3F2723D5" w14:textId="6AFC559D" w:rsidR="00A44C22" w:rsidRDefault="00A44C22" w:rsidP="00106BF4"/>
    <w:p w14:paraId="211E0B05" w14:textId="77777777" w:rsidR="00106BF4" w:rsidRPr="00493267" w:rsidRDefault="00106BF4" w:rsidP="00493267"/>
    <w:p w14:paraId="526656BB" w14:textId="3DD2E02E" w:rsidR="00F06370" w:rsidRPr="00A84FD7" w:rsidRDefault="002B4C74">
      <w:pPr>
        <w:rPr>
          <w:b/>
        </w:rPr>
      </w:pPr>
      <w:r w:rsidRPr="00A84FD7">
        <w:rPr>
          <w:b/>
        </w:rPr>
        <w:t>References</w:t>
      </w:r>
    </w:p>
    <w:p w14:paraId="74AB48E3" w14:textId="77777777" w:rsidR="002B4C74" w:rsidRPr="00A84FD7" w:rsidRDefault="002B4C74"/>
    <w:p w14:paraId="1DEB52E0" w14:textId="2B4DCAEB" w:rsidR="00A84FD7" w:rsidRPr="00A84FD7" w:rsidRDefault="00A84FD7" w:rsidP="00854559">
      <w:pPr>
        <w:spacing w:after="120"/>
        <w:ind w:left="567" w:hanging="567"/>
        <w:rPr>
          <w:szCs w:val="22"/>
          <w:lang w:val="en-GB"/>
        </w:rPr>
      </w:pPr>
      <w:proofErr w:type="spellStart"/>
      <w:r w:rsidRPr="00A84FD7">
        <w:rPr>
          <w:szCs w:val="22"/>
          <w:lang w:val="en-GB"/>
        </w:rPr>
        <w:t>Cerny</w:t>
      </w:r>
      <w:proofErr w:type="spellEnd"/>
      <w:r w:rsidRPr="00A84FD7">
        <w:rPr>
          <w:szCs w:val="22"/>
          <w:lang w:val="en-GB"/>
        </w:rPr>
        <w:t xml:space="preserve">, P. (1997). Paradoxes of the competition state: The dynamics of political globalization. </w:t>
      </w:r>
      <w:r w:rsidRPr="00A84FD7">
        <w:rPr>
          <w:i/>
          <w:szCs w:val="22"/>
          <w:lang w:val="en-GB"/>
        </w:rPr>
        <w:t>Government and Opposition</w:t>
      </w:r>
      <w:r w:rsidRPr="00A84FD7">
        <w:rPr>
          <w:szCs w:val="22"/>
          <w:lang w:val="en-GB"/>
        </w:rPr>
        <w:t>, 32 (2), pp. 251-274.</w:t>
      </w:r>
    </w:p>
    <w:p w14:paraId="3B5B198D" w14:textId="44D0CAC7" w:rsidR="00A84FD7" w:rsidRPr="00380F27" w:rsidRDefault="00A84FD7" w:rsidP="00854559">
      <w:pPr>
        <w:spacing w:after="120"/>
        <w:ind w:left="567" w:hanging="567"/>
        <w:rPr>
          <w:rFonts w:cs="Times New Roman"/>
        </w:rPr>
      </w:pPr>
      <w:proofErr w:type="gramStart"/>
      <w:r w:rsidRPr="00A84FD7">
        <w:rPr>
          <w:rFonts w:cs="Times New Roman"/>
        </w:rPr>
        <w:t xml:space="preserve">European </w:t>
      </w:r>
      <w:r w:rsidRPr="00E05EE6">
        <w:rPr>
          <w:rFonts w:cs="Times New Roman"/>
        </w:rPr>
        <w:t>Universities Association, EUA (2012).</w:t>
      </w:r>
      <w:proofErr w:type="gramEnd"/>
      <w:r w:rsidRPr="00E05EE6">
        <w:rPr>
          <w:rFonts w:cs="Times New Roman"/>
        </w:rPr>
        <w:t xml:space="preserve"> </w:t>
      </w:r>
      <w:proofErr w:type="gramStart"/>
      <w:r w:rsidRPr="00E05EE6">
        <w:rPr>
          <w:rFonts w:cs="Times New Roman"/>
          <w:i/>
        </w:rPr>
        <w:t>Public Funding Observatory.</w:t>
      </w:r>
      <w:proofErr w:type="gramEnd"/>
      <w:r w:rsidRPr="00E05EE6">
        <w:rPr>
          <w:rFonts w:cs="Times New Roman"/>
        </w:rPr>
        <w:t xml:space="preserve"> http://www.eua.be/</w:t>
      </w:r>
      <w:r w:rsidRPr="00380F27">
        <w:rPr>
          <w:rFonts w:cs="Times New Roman"/>
        </w:rPr>
        <w:t>eua-work-and-policy-area/governance-autonomy-and-funding/public-funding-observatory.aspx</w:t>
      </w:r>
    </w:p>
    <w:p w14:paraId="35F3EA13" w14:textId="178CC59C" w:rsidR="00E05EE6" w:rsidRPr="00380F27" w:rsidRDefault="00E05EE6" w:rsidP="00854559">
      <w:pPr>
        <w:widowControl w:val="0"/>
        <w:autoSpaceDE w:val="0"/>
        <w:autoSpaceDN w:val="0"/>
        <w:adjustRightInd w:val="0"/>
        <w:spacing w:after="120"/>
        <w:ind w:left="567" w:hanging="567"/>
        <w:rPr>
          <w:rFonts w:cs="Arial"/>
        </w:rPr>
      </w:pPr>
      <w:r w:rsidRPr="00380F27">
        <w:rPr>
          <w:rFonts w:cs="Arial"/>
        </w:rPr>
        <w:t xml:space="preserve">Frank, R. and P. Cook, P. (1995). </w:t>
      </w:r>
      <w:proofErr w:type="gramStart"/>
      <w:r w:rsidRPr="00380F27">
        <w:rPr>
          <w:rFonts w:cs="Arial"/>
          <w:i/>
          <w:iCs/>
        </w:rPr>
        <w:t>The Winner-take-all Society</w:t>
      </w:r>
      <w:r w:rsidRPr="00380F27">
        <w:rPr>
          <w:rFonts w:cs="Arial"/>
        </w:rPr>
        <w:t>.</w:t>
      </w:r>
      <w:proofErr w:type="gramEnd"/>
      <w:r w:rsidRPr="00380F27">
        <w:rPr>
          <w:rFonts w:cs="Arial"/>
        </w:rPr>
        <w:t xml:space="preserve"> </w:t>
      </w:r>
      <w:r w:rsidR="00380F27" w:rsidRPr="00380F27">
        <w:rPr>
          <w:rFonts w:cs="Arial"/>
        </w:rPr>
        <w:t xml:space="preserve">New York: </w:t>
      </w:r>
      <w:r w:rsidRPr="00380F27">
        <w:rPr>
          <w:rFonts w:cs="Arial"/>
        </w:rPr>
        <w:t>The Free Press.</w:t>
      </w:r>
    </w:p>
    <w:p w14:paraId="0733548D" w14:textId="7F8F4394" w:rsidR="00722CF2" w:rsidRDefault="00722CF2" w:rsidP="00854559">
      <w:pPr>
        <w:widowControl w:val="0"/>
        <w:autoSpaceDE w:val="0"/>
        <w:autoSpaceDN w:val="0"/>
        <w:adjustRightInd w:val="0"/>
        <w:spacing w:after="120"/>
        <w:ind w:left="567" w:hanging="567"/>
        <w:rPr>
          <w:rFonts w:cs="Times New Roman"/>
        </w:rPr>
      </w:pPr>
      <w:proofErr w:type="gramStart"/>
      <w:r>
        <w:rPr>
          <w:rFonts w:cs="Times New Roman"/>
        </w:rPr>
        <w:t>Leiden  University</w:t>
      </w:r>
      <w:proofErr w:type="gramEnd"/>
      <w:r>
        <w:rPr>
          <w:rFonts w:cs="Times New Roman"/>
        </w:rPr>
        <w:t xml:space="preserve"> Centre for Science and Technology Studies, Leiden (2012). </w:t>
      </w:r>
      <w:proofErr w:type="gramStart"/>
      <w:r w:rsidRPr="00722CF2">
        <w:rPr>
          <w:rFonts w:cs="Times New Roman"/>
          <w:i/>
        </w:rPr>
        <w:t>The Leiden Ranking</w:t>
      </w:r>
      <w:r>
        <w:rPr>
          <w:rFonts w:cs="Times New Roman"/>
        </w:rPr>
        <w:t>.</w:t>
      </w:r>
      <w:proofErr w:type="gramEnd"/>
      <w:r>
        <w:rPr>
          <w:rFonts w:cs="Times New Roman"/>
        </w:rPr>
        <w:t xml:space="preserve"> </w:t>
      </w:r>
      <w:r w:rsidRPr="00722CF2">
        <w:rPr>
          <w:rFonts w:cs="Times New Roman"/>
        </w:rPr>
        <w:t>http://www.leidenranking.com</w:t>
      </w:r>
    </w:p>
    <w:p w14:paraId="4DFD3EB4" w14:textId="573F5F37" w:rsidR="00E05EE6" w:rsidRPr="00E05EE6" w:rsidRDefault="00E05EE6" w:rsidP="00854559">
      <w:pPr>
        <w:widowControl w:val="0"/>
        <w:autoSpaceDE w:val="0"/>
        <w:autoSpaceDN w:val="0"/>
        <w:adjustRightInd w:val="0"/>
        <w:spacing w:after="120"/>
        <w:ind w:left="567" w:hanging="567"/>
        <w:rPr>
          <w:rFonts w:cs="Times New Roman"/>
        </w:rPr>
      </w:pPr>
      <w:proofErr w:type="gramStart"/>
      <w:r w:rsidRPr="00E05EE6">
        <w:rPr>
          <w:rFonts w:cs="Times New Roman"/>
        </w:rPr>
        <w:t>Marginson, S. (2006).</w:t>
      </w:r>
      <w:proofErr w:type="gramEnd"/>
      <w:r w:rsidRPr="00E05EE6">
        <w:rPr>
          <w:rFonts w:cs="Times New Roman"/>
        </w:rPr>
        <w:t xml:space="preserve"> </w:t>
      </w:r>
      <w:proofErr w:type="gramStart"/>
      <w:r w:rsidRPr="00E05EE6">
        <w:rPr>
          <w:rFonts w:cs="Times New Roman"/>
        </w:rPr>
        <w:t>Dynamics of national and global competition in higher education.</w:t>
      </w:r>
      <w:proofErr w:type="gramEnd"/>
      <w:r w:rsidRPr="00E05EE6">
        <w:rPr>
          <w:rFonts w:cs="Times New Roman"/>
        </w:rPr>
        <w:t xml:space="preserve"> </w:t>
      </w:r>
      <w:r w:rsidRPr="00E05EE6">
        <w:rPr>
          <w:rFonts w:cs="Times New Roman"/>
          <w:i/>
        </w:rPr>
        <w:t>Higher Education</w:t>
      </w:r>
      <w:r w:rsidRPr="00E05EE6">
        <w:rPr>
          <w:rFonts w:cs="Times New Roman"/>
        </w:rPr>
        <w:t>, 52, pp. 1–39.</w:t>
      </w:r>
    </w:p>
    <w:p w14:paraId="55EB4492" w14:textId="776D4622" w:rsidR="00E05EE6" w:rsidRPr="00E05EE6" w:rsidRDefault="00E05EE6" w:rsidP="00854559">
      <w:pPr>
        <w:spacing w:after="120"/>
        <w:ind w:left="567" w:hanging="567"/>
        <w:rPr>
          <w:rFonts w:eastAsia="ＭＳ ゴシック" w:cs="Times New Roman"/>
        </w:rPr>
      </w:pPr>
      <w:proofErr w:type="gramStart"/>
      <w:r w:rsidRPr="00E05EE6">
        <w:rPr>
          <w:rFonts w:cs="Times New Roman"/>
          <w:lang w:val="en-GB"/>
        </w:rPr>
        <w:t>Marginson, S. (2007).</w:t>
      </w:r>
      <w:proofErr w:type="gramEnd"/>
      <w:r w:rsidRPr="00E05EE6">
        <w:rPr>
          <w:rFonts w:cs="Times New Roman"/>
          <w:lang w:val="en-GB"/>
        </w:rPr>
        <w:t xml:space="preserve"> </w:t>
      </w:r>
      <w:r w:rsidRPr="00E05EE6">
        <w:rPr>
          <w:rFonts w:eastAsia="ＭＳ ゴシック" w:cs="Times New Roman"/>
        </w:rPr>
        <w:t xml:space="preserve">The public/private division in higher education: A global revision. </w:t>
      </w:r>
      <w:r w:rsidRPr="00E05EE6">
        <w:rPr>
          <w:rFonts w:eastAsia="ＭＳ ゴシック" w:cs="Times New Roman"/>
          <w:i/>
          <w:iCs/>
        </w:rPr>
        <w:t>Higher Education</w:t>
      </w:r>
      <w:r w:rsidRPr="00E05EE6">
        <w:rPr>
          <w:rFonts w:eastAsia="ＭＳ ゴシック" w:cs="Times New Roman"/>
        </w:rPr>
        <w:t>, 53, pp. 307-333.</w:t>
      </w:r>
    </w:p>
    <w:p w14:paraId="4AA23410" w14:textId="62199884" w:rsidR="00E05EE6" w:rsidRPr="00E05EE6" w:rsidRDefault="00E05EE6" w:rsidP="00854559">
      <w:pPr>
        <w:spacing w:after="120"/>
        <w:ind w:left="567" w:hanging="567"/>
        <w:rPr>
          <w:rFonts w:cs="Times New Roman"/>
          <w:lang w:val="en-GB"/>
        </w:rPr>
      </w:pPr>
      <w:proofErr w:type="gramStart"/>
      <w:r w:rsidRPr="00E05EE6">
        <w:rPr>
          <w:rFonts w:eastAsia="ＭＳ ゴシック" w:cs="Times New Roman"/>
        </w:rPr>
        <w:t>Marginson, S. (2012).</w:t>
      </w:r>
      <w:proofErr w:type="gramEnd"/>
      <w:r w:rsidRPr="00E05EE6">
        <w:rPr>
          <w:rFonts w:eastAsia="ＭＳ ゴシック" w:cs="Times New Roman"/>
        </w:rPr>
        <w:t xml:space="preserve"> </w:t>
      </w:r>
      <w:proofErr w:type="gramStart"/>
      <w:r w:rsidRPr="00E05EE6">
        <w:rPr>
          <w:rFonts w:eastAsia="ＭＳ ゴシック" w:cs="Times New Roman"/>
        </w:rPr>
        <w:t>The impossibility of capitalist markets in higher education.</w:t>
      </w:r>
      <w:proofErr w:type="gramEnd"/>
      <w:r w:rsidRPr="00E05EE6">
        <w:rPr>
          <w:rFonts w:eastAsia="ＭＳ ゴシック" w:cs="Times New Roman"/>
        </w:rPr>
        <w:t xml:space="preserve"> </w:t>
      </w:r>
      <w:r w:rsidRPr="00E05EE6">
        <w:rPr>
          <w:rFonts w:eastAsia="ＭＳ ゴシック" w:cs="Times New Roman"/>
          <w:i/>
        </w:rPr>
        <w:t>Journal of Education Policy</w:t>
      </w:r>
      <w:r w:rsidRPr="00E05EE6">
        <w:rPr>
          <w:rFonts w:eastAsia="ＭＳ ゴシック" w:cs="Times New Roman"/>
        </w:rPr>
        <w:t xml:space="preserve">, </w:t>
      </w:r>
      <w:r w:rsidRPr="00E05EE6">
        <w:rPr>
          <w:rFonts w:cs="Arial"/>
          <w:bCs/>
          <w:iCs/>
        </w:rPr>
        <w:t xml:space="preserve">published 30 November. </w:t>
      </w:r>
      <w:r w:rsidRPr="00E05EE6">
        <w:rPr>
          <w:rFonts w:cs="Arial"/>
        </w:rPr>
        <w:t>http://dx.doi.org/10.1080/02680939.2012.747109</w:t>
      </w:r>
    </w:p>
    <w:p w14:paraId="50A79161" w14:textId="6826B5C2" w:rsidR="00A84FD7" w:rsidRPr="00E05EE6" w:rsidRDefault="00A84FD7" w:rsidP="00854559">
      <w:pPr>
        <w:spacing w:after="120"/>
        <w:ind w:left="567" w:hanging="567"/>
        <w:rPr>
          <w:rFonts w:cs="Times New Roman"/>
          <w:lang w:val="en-GB"/>
        </w:rPr>
      </w:pPr>
      <w:proofErr w:type="gramStart"/>
      <w:r w:rsidRPr="00E05EE6">
        <w:rPr>
          <w:rFonts w:cs="Times New Roman"/>
          <w:lang w:val="en-GB"/>
        </w:rPr>
        <w:t xml:space="preserve">Marginson, S., </w:t>
      </w:r>
      <w:proofErr w:type="spellStart"/>
      <w:r w:rsidRPr="00E05EE6">
        <w:rPr>
          <w:rFonts w:cs="Times New Roman"/>
          <w:lang w:val="en-GB"/>
        </w:rPr>
        <w:t>Nyland</w:t>
      </w:r>
      <w:proofErr w:type="spellEnd"/>
      <w:r w:rsidRPr="00E05EE6">
        <w:rPr>
          <w:rFonts w:cs="Times New Roman"/>
          <w:lang w:val="en-GB"/>
        </w:rPr>
        <w:t xml:space="preserve">, C., </w:t>
      </w:r>
      <w:proofErr w:type="spellStart"/>
      <w:r w:rsidRPr="00E05EE6">
        <w:rPr>
          <w:rFonts w:cs="Times New Roman"/>
          <w:lang w:val="en-GB"/>
        </w:rPr>
        <w:t>Sawir</w:t>
      </w:r>
      <w:proofErr w:type="spellEnd"/>
      <w:r w:rsidRPr="00E05EE6">
        <w:rPr>
          <w:rFonts w:cs="Times New Roman"/>
          <w:lang w:val="en-GB"/>
        </w:rPr>
        <w:t>, E, &amp; Forbes-</w:t>
      </w:r>
      <w:proofErr w:type="spellStart"/>
      <w:r w:rsidRPr="00E05EE6">
        <w:rPr>
          <w:rFonts w:cs="Times New Roman"/>
          <w:lang w:val="en-GB"/>
        </w:rPr>
        <w:t>Mewett</w:t>
      </w:r>
      <w:proofErr w:type="spellEnd"/>
      <w:r w:rsidRPr="00E05EE6">
        <w:rPr>
          <w:rFonts w:cs="Times New Roman"/>
          <w:lang w:val="en-GB"/>
        </w:rPr>
        <w:t>, H. (2010).</w:t>
      </w:r>
      <w:proofErr w:type="gramEnd"/>
      <w:r w:rsidRPr="00E05EE6">
        <w:rPr>
          <w:rFonts w:cs="Times New Roman"/>
          <w:lang w:val="en-GB"/>
        </w:rPr>
        <w:t xml:space="preserve"> </w:t>
      </w:r>
      <w:r w:rsidRPr="00E05EE6">
        <w:rPr>
          <w:rFonts w:cs="Times New Roman"/>
          <w:i/>
          <w:lang w:val="en-GB"/>
        </w:rPr>
        <w:t>International student security</w:t>
      </w:r>
      <w:r w:rsidRPr="00E05EE6">
        <w:rPr>
          <w:rFonts w:cs="Times New Roman"/>
          <w:lang w:val="en-GB"/>
        </w:rPr>
        <w:t>, Cambridge: Cambridge University Press.</w:t>
      </w:r>
    </w:p>
    <w:p w14:paraId="38AC7446" w14:textId="77777777" w:rsidR="00A84FD7" w:rsidRPr="00A84FD7" w:rsidRDefault="00A84FD7" w:rsidP="00854559">
      <w:pPr>
        <w:spacing w:after="120"/>
        <w:ind w:left="567" w:hanging="567"/>
      </w:pPr>
      <w:proofErr w:type="gramStart"/>
      <w:r w:rsidRPr="00A84FD7">
        <w:t>National Science Foundation, NSF (2012).</w:t>
      </w:r>
      <w:proofErr w:type="gramEnd"/>
      <w:r w:rsidRPr="00A84FD7">
        <w:t xml:space="preserve"> </w:t>
      </w:r>
      <w:r w:rsidRPr="00A84FD7">
        <w:rPr>
          <w:i/>
        </w:rPr>
        <w:t>Science and Technology Indicators 2012.</w:t>
      </w:r>
      <w:r w:rsidRPr="00A84FD7">
        <w:t xml:space="preserve"> </w:t>
      </w:r>
      <w:proofErr w:type="gramStart"/>
      <w:r w:rsidRPr="00A84FD7">
        <w:t>National Science Board.</w:t>
      </w:r>
      <w:proofErr w:type="gramEnd"/>
      <w:r w:rsidRPr="00A84FD7">
        <w:t xml:space="preserve"> http://www.nsf.gov/statistics/seind12/</w:t>
      </w:r>
    </w:p>
    <w:p w14:paraId="3ACAA568" w14:textId="30F00918" w:rsidR="00A84FD7" w:rsidRPr="00A84FD7" w:rsidRDefault="00A84FD7" w:rsidP="00854559">
      <w:pPr>
        <w:spacing w:after="120"/>
        <w:ind w:left="567" w:hanging="567"/>
        <w:rPr>
          <w:rFonts w:cs="Times New Roman"/>
        </w:rPr>
      </w:pPr>
      <w:proofErr w:type="gramStart"/>
      <w:r w:rsidRPr="00A84FD7">
        <w:rPr>
          <w:rFonts w:cs="Times New Roman"/>
        </w:rPr>
        <w:t>Organization for Economic Cooperation and Development (2012).</w:t>
      </w:r>
      <w:proofErr w:type="gramEnd"/>
      <w:r w:rsidRPr="00A84FD7">
        <w:rPr>
          <w:rFonts w:cs="Times New Roman"/>
        </w:rPr>
        <w:t xml:space="preserve"> </w:t>
      </w:r>
      <w:proofErr w:type="gramStart"/>
      <w:r w:rsidRPr="00A84FD7">
        <w:rPr>
          <w:rFonts w:cs="Times New Roman"/>
          <w:i/>
        </w:rPr>
        <w:t>Education at glance</w:t>
      </w:r>
      <w:r w:rsidRPr="00A84FD7">
        <w:rPr>
          <w:rFonts w:cs="Times New Roman"/>
        </w:rPr>
        <w:t>.</w:t>
      </w:r>
      <w:proofErr w:type="gramEnd"/>
      <w:r w:rsidRPr="00A84FD7">
        <w:rPr>
          <w:rFonts w:cs="Times New Roman"/>
        </w:rPr>
        <w:t xml:space="preserve"> Paris: OECD.</w:t>
      </w:r>
    </w:p>
    <w:p w14:paraId="0AFCFD03" w14:textId="794E6D39" w:rsidR="00E05EE6" w:rsidRDefault="00E05EE6" w:rsidP="00854559">
      <w:pPr>
        <w:spacing w:after="120"/>
        <w:ind w:left="567" w:hanging="567"/>
        <w:rPr>
          <w:rFonts w:cs="Times New Roman"/>
        </w:rPr>
      </w:pPr>
      <w:r>
        <w:rPr>
          <w:rFonts w:cs="Times New Roman"/>
        </w:rPr>
        <w:t xml:space="preserve">Readings, B. (1996). </w:t>
      </w:r>
      <w:proofErr w:type="gramStart"/>
      <w:r w:rsidRPr="00E05EE6">
        <w:rPr>
          <w:rFonts w:cs="Times New Roman"/>
          <w:i/>
        </w:rPr>
        <w:t>The University in Ruins.</w:t>
      </w:r>
      <w:proofErr w:type="gramEnd"/>
      <w:r>
        <w:rPr>
          <w:rFonts w:cs="Times New Roman"/>
        </w:rPr>
        <w:t xml:space="preserve"> Cambridge: Harvard </w:t>
      </w:r>
      <w:r w:rsidR="00854559">
        <w:rPr>
          <w:rFonts w:cs="Times New Roman"/>
        </w:rPr>
        <w:t>University Press.</w:t>
      </w:r>
      <w:r>
        <w:rPr>
          <w:rFonts w:cs="Times New Roman"/>
        </w:rPr>
        <w:t xml:space="preserve"> </w:t>
      </w:r>
    </w:p>
    <w:p w14:paraId="5DEF0C6A" w14:textId="268315A3" w:rsidR="002B4C74" w:rsidRDefault="00A84FD7" w:rsidP="00854559">
      <w:pPr>
        <w:spacing w:after="120"/>
        <w:ind w:left="567" w:hanging="567"/>
        <w:rPr>
          <w:rFonts w:cs="Times New Roman"/>
          <w:color w:val="000000"/>
        </w:rPr>
      </w:pPr>
      <w:proofErr w:type="spellStart"/>
      <w:r w:rsidRPr="00A84FD7">
        <w:rPr>
          <w:rFonts w:cs="Times New Roman"/>
        </w:rPr>
        <w:t>Trow</w:t>
      </w:r>
      <w:proofErr w:type="spellEnd"/>
      <w:r w:rsidRPr="00A84FD7">
        <w:rPr>
          <w:rFonts w:cs="Times New Roman"/>
        </w:rPr>
        <w:t xml:space="preserve">, M. (1974). </w:t>
      </w:r>
      <w:proofErr w:type="gramStart"/>
      <w:r w:rsidRPr="00A84FD7">
        <w:rPr>
          <w:rFonts w:cs="Times New Roman"/>
          <w:color w:val="000000"/>
        </w:rPr>
        <w:t>Problems in the transition from elite to mass higher education.</w:t>
      </w:r>
      <w:proofErr w:type="gramEnd"/>
      <w:r w:rsidRPr="00A84FD7">
        <w:rPr>
          <w:rFonts w:cs="Times New Roman"/>
          <w:color w:val="000000"/>
        </w:rPr>
        <w:t xml:space="preserve"> </w:t>
      </w:r>
      <w:proofErr w:type="gramStart"/>
      <w:r w:rsidRPr="00A84FD7">
        <w:rPr>
          <w:rFonts w:cs="Times New Roman"/>
          <w:color w:val="000000"/>
        </w:rPr>
        <w:t xml:space="preserve">In </w:t>
      </w:r>
      <w:r w:rsidRPr="00A84FD7">
        <w:rPr>
          <w:rFonts w:cs="Times New Roman"/>
          <w:i/>
          <w:color w:val="000000"/>
        </w:rPr>
        <w:t>Policies for higher education</w:t>
      </w:r>
      <w:r w:rsidRPr="00A84FD7">
        <w:rPr>
          <w:rFonts w:cs="Times New Roman"/>
          <w:color w:val="000000"/>
        </w:rPr>
        <w:t>, from the General Report on the Conference on Future Structures of Post-Secondary Education (pp. 55-101).</w:t>
      </w:r>
      <w:proofErr w:type="gramEnd"/>
      <w:r w:rsidRPr="00A84FD7">
        <w:rPr>
          <w:rFonts w:cs="Times New Roman"/>
          <w:color w:val="000000"/>
        </w:rPr>
        <w:t xml:space="preserve"> Paris: OECD</w:t>
      </w:r>
      <w:r>
        <w:rPr>
          <w:rFonts w:cs="Times New Roman"/>
          <w:color w:val="000000"/>
        </w:rPr>
        <w:t>.</w:t>
      </w:r>
    </w:p>
    <w:p w14:paraId="4C599E71" w14:textId="77777777" w:rsidR="00A84FD7" w:rsidRPr="00A84FD7" w:rsidRDefault="00A84FD7" w:rsidP="00A84FD7"/>
    <w:sectPr w:rsidR="00A84FD7" w:rsidRPr="00A84FD7" w:rsidSect="00F06370">
      <w:headerReference w:type="even" r:id="rId8"/>
      <w:headerReference w:type="defaul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C293E" w14:textId="77777777" w:rsidR="00E05EE6" w:rsidRDefault="00E05EE6" w:rsidP="00F06370">
      <w:r>
        <w:separator/>
      </w:r>
    </w:p>
  </w:endnote>
  <w:endnote w:type="continuationSeparator" w:id="0">
    <w:p w14:paraId="29B0D29E" w14:textId="77777777" w:rsidR="00E05EE6" w:rsidRDefault="00E05EE6" w:rsidP="00F0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2DD07" w14:textId="77777777" w:rsidR="00E05EE6" w:rsidRDefault="00E05EE6" w:rsidP="00F06370">
      <w:r>
        <w:separator/>
      </w:r>
    </w:p>
  </w:footnote>
  <w:footnote w:type="continuationSeparator" w:id="0">
    <w:p w14:paraId="1524459B" w14:textId="77777777" w:rsidR="00E05EE6" w:rsidRDefault="00E05EE6" w:rsidP="00F063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9F5B" w14:textId="77777777" w:rsidR="00E05EE6" w:rsidRDefault="00E05EE6" w:rsidP="00773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A84A17" w14:textId="77777777" w:rsidR="00E05EE6" w:rsidRDefault="00E05E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DC798" w14:textId="77777777" w:rsidR="00E05EE6" w:rsidRDefault="00E05EE6" w:rsidP="00773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18E">
      <w:rPr>
        <w:rStyle w:val="PageNumber"/>
        <w:noProof/>
      </w:rPr>
      <w:t>8</w:t>
    </w:r>
    <w:r>
      <w:rPr>
        <w:rStyle w:val="PageNumber"/>
      </w:rPr>
      <w:fldChar w:fldCharType="end"/>
    </w:r>
  </w:p>
  <w:p w14:paraId="3C7EC6AB" w14:textId="77777777" w:rsidR="00E05EE6" w:rsidRDefault="00E05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2C"/>
    <w:rsid w:val="00013F0D"/>
    <w:rsid w:val="00022231"/>
    <w:rsid w:val="0004662A"/>
    <w:rsid w:val="00061084"/>
    <w:rsid w:val="00096BFA"/>
    <w:rsid w:val="000D17EB"/>
    <w:rsid w:val="00106BF4"/>
    <w:rsid w:val="00127E10"/>
    <w:rsid w:val="00157D0B"/>
    <w:rsid w:val="001611DD"/>
    <w:rsid w:val="0017318E"/>
    <w:rsid w:val="0018691B"/>
    <w:rsid w:val="00213F93"/>
    <w:rsid w:val="002B4C74"/>
    <w:rsid w:val="002D3995"/>
    <w:rsid w:val="00305E66"/>
    <w:rsid w:val="003432AA"/>
    <w:rsid w:val="003441BF"/>
    <w:rsid w:val="003643B0"/>
    <w:rsid w:val="003717C6"/>
    <w:rsid w:val="003760C6"/>
    <w:rsid w:val="00380F27"/>
    <w:rsid w:val="003F192B"/>
    <w:rsid w:val="0042073B"/>
    <w:rsid w:val="0047705C"/>
    <w:rsid w:val="00493267"/>
    <w:rsid w:val="004A0F4E"/>
    <w:rsid w:val="004A3380"/>
    <w:rsid w:val="004C694E"/>
    <w:rsid w:val="0050393B"/>
    <w:rsid w:val="005272E2"/>
    <w:rsid w:val="005428C0"/>
    <w:rsid w:val="005B5F2F"/>
    <w:rsid w:val="005D38B1"/>
    <w:rsid w:val="006202ED"/>
    <w:rsid w:val="00626E7E"/>
    <w:rsid w:val="006321AC"/>
    <w:rsid w:val="006677C2"/>
    <w:rsid w:val="0067004F"/>
    <w:rsid w:val="006A14BF"/>
    <w:rsid w:val="006A4E18"/>
    <w:rsid w:val="006D7104"/>
    <w:rsid w:val="00705761"/>
    <w:rsid w:val="00722CF2"/>
    <w:rsid w:val="0077338B"/>
    <w:rsid w:val="007A52F8"/>
    <w:rsid w:val="007D0A47"/>
    <w:rsid w:val="00854559"/>
    <w:rsid w:val="0086047F"/>
    <w:rsid w:val="0086164F"/>
    <w:rsid w:val="00867AF8"/>
    <w:rsid w:val="0088758A"/>
    <w:rsid w:val="009750D6"/>
    <w:rsid w:val="00975822"/>
    <w:rsid w:val="00A44C22"/>
    <w:rsid w:val="00A47340"/>
    <w:rsid w:val="00A63977"/>
    <w:rsid w:val="00A84FD7"/>
    <w:rsid w:val="00AC1A44"/>
    <w:rsid w:val="00B2130E"/>
    <w:rsid w:val="00B814CB"/>
    <w:rsid w:val="00BB45DF"/>
    <w:rsid w:val="00BE31CD"/>
    <w:rsid w:val="00C73DB5"/>
    <w:rsid w:val="00C75B42"/>
    <w:rsid w:val="00C911EB"/>
    <w:rsid w:val="00CB4064"/>
    <w:rsid w:val="00CE2B28"/>
    <w:rsid w:val="00D859A5"/>
    <w:rsid w:val="00DA2E2C"/>
    <w:rsid w:val="00DB1770"/>
    <w:rsid w:val="00E05EE6"/>
    <w:rsid w:val="00E45554"/>
    <w:rsid w:val="00EB344C"/>
    <w:rsid w:val="00ED484A"/>
    <w:rsid w:val="00F06370"/>
    <w:rsid w:val="00F42CB5"/>
    <w:rsid w:val="00F43846"/>
    <w:rsid w:val="00F8741F"/>
    <w:rsid w:val="00F94A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9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370"/>
    <w:rPr>
      <w:color w:val="0000FF" w:themeColor="hyperlink"/>
      <w:u w:val="single"/>
    </w:rPr>
  </w:style>
  <w:style w:type="paragraph" w:styleId="Header">
    <w:name w:val="header"/>
    <w:basedOn w:val="Normal"/>
    <w:link w:val="HeaderChar"/>
    <w:uiPriority w:val="99"/>
    <w:unhideWhenUsed/>
    <w:rsid w:val="00F06370"/>
    <w:pPr>
      <w:tabs>
        <w:tab w:val="center" w:pos="4320"/>
        <w:tab w:val="right" w:pos="8640"/>
      </w:tabs>
    </w:pPr>
  </w:style>
  <w:style w:type="character" w:customStyle="1" w:styleId="HeaderChar">
    <w:name w:val="Header Char"/>
    <w:basedOn w:val="DefaultParagraphFont"/>
    <w:link w:val="Header"/>
    <w:uiPriority w:val="99"/>
    <w:rsid w:val="00F06370"/>
  </w:style>
  <w:style w:type="character" w:styleId="PageNumber">
    <w:name w:val="page number"/>
    <w:basedOn w:val="DefaultParagraphFont"/>
    <w:uiPriority w:val="99"/>
    <w:semiHidden/>
    <w:unhideWhenUsed/>
    <w:rsid w:val="00F06370"/>
  </w:style>
  <w:style w:type="paragraph" w:styleId="FootnoteText">
    <w:name w:val="footnote text"/>
    <w:basedOn w:val="Normal"/>
    <w:link w:val="FootnoteTextChar"/>
    <w:uiPriority w:val="99"/>
    <w:semiHidden/>
    <w:unhideWhenUsed/>
    <w:rsid w:val="006A4E18"/>
    <w:pPr>
      <w:spacing w:after="200" w:line="276" w:lineRule="auto"/>
    </w:pPr>
    <w:rPr>
      <w:rFonts w:ascii="Cambria" w:eastAsia="Times New Roman" w:hAnsi="Cambria" w:cs="Times New Roman"/>
      <w:lang w:val="es-MX" w:eastAsia="ja-JP"/>
    </w:rPr>
  </w:style>
  <w:style w:type="character" w:customStyle="1" w:styleId="FootnoteTextChar">
    <w:name w:val="Footnote Text Char"/>
    <w:basedOn w:val="DefaultParagraphFont"/>
    <w:link w:val="FootnoteText"/>
    <w:uiPriority w:val="99"/>
    <w:semiHidden/>
    <w:rsid w:val="006A4E18"/>
    <w:rPr>
      <w:rFonts w:ascii="Cambria" w:eastAsia="Times New Roman" w:hAnsi="Cambria" w:cs="Times New Roman"/>
      <w:lang w:val="es-MX" w:eastAsia="ja-JP"/>
    </w:rPr>
  </w:style>
  <w:style w:type="character" w:styleId="FootnoteReference">
    <w:name w:val="footnote reference"/>
    <w:basedOn w:val="DefaultParagraphFont"/>
    <w:uiPriority w:val="99"/>
    <w:semiHidden/>
    <w:unhideWhenUsed/>
    <w:rsid w:val="006A4E18"/>
    <w:rPr>
      <w:vertAlign w:val="superscript"/>
    </w:rPr>
  </w:style>
  <w:style w:type="paragraph" w:styleId="BalloonText">
    <w:name w:val="Balloon Text"/>
    <w:basedOn w:val="Normal"/>
    <w:link w:val="BalloonTextChar"/>
    <w:uiPriority w:val="99"/>
    <w:semiHidden/>
    <w:unhideWhenUsed/>
    <w:rsid w:val="003717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7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370"/>
    <w:rPr>
      <w:color w:val="0000FF" w:themeColor="hyperlink"/>
      <w:u w:val="single"/>
    </w:rPr>
  </w:style>
  <w:style w:type="paragraph" w:styleId="Header">
    <w:name w:val="header"/>
    <w:basedOn w:val="Normal"/>
    <w:link w:val="HeaderChar"/>
    <w:uiPriority w:val="99"/>
    <w:unhideWhenUsed/>
    <w:rsid w:val="00F06370"/>
    <w:pPr>
      <w:tabs>
        <w:tab w:val="center" w:pos="4320"/>
        <w:tab w:val="right" w:pos="8640"/>
      </w:tabs>
    </w:pPr>
  </w:style>
  <w:style w:type="character" w:customStyle="1" w:styleId="HeaderChar">
    <w:name w:val="Header Char"/>
    <w:basedOn w:val="DefaultParagraphFont"/>
    <w:link w:val="Header"/>
    <w:uiPriority w:val="99"/>
    <w:rsid w:val="00F06370"/>
  </w:style>
  <w:style w:type="character" w:styleId="PageNumber">
    <w:name w:val="page number"/>
    <w:basedOn w:val="DefaultParagraphFont"/>
    <w:uiPriority w:val="99"/>
    <w:semiHidden/>
    <w:unhideWhenUsed/>
    <w:rsid w:val="00F06370"/>
  </w:style>
  <w:style w:type="paragraph" w:styleId="FootnoteText">
    <w:name w:val="footnote text"/>
    <w:basedOn w:val="Normal"/>
    <w:link w:val="FootnoteTextChar"/>
    <w:uiPriority w:val="99"/>
    <w:semiHidden/>
    <w:unhideWhenUsed/>
    <w:rsid w:val="006A4E18"/>
    <w:pPr>
      <w:spacing w:after="200" w:line="276" w:lineRule="auto"/>
    </w:pPr>
    <w:rPr>
      <w:rFonts w:ascii="Cambria" w:eastAsia="Times New Roman" w:hAnsi="Cambria" w:cs="Times New Roman"/>
      <w:lang w:val="es-MX" w:eastAsia="ja-JP"/>
    </w:rPr>
  </w:style>
  <w:style w:type="character" w:customStyle="1" w:styleId="FootnoteTextChar">
    <w:name w:val="Footnote Text Char"/>
    <w:basedOn w:val="DefaultParagraphFont"/>
    <w:link w:val="FootnoteText"/>
    <w:uiPriority w:val="99"/>
    <w:semiHidden/>
    <w:rsid w:val="006A4E18"/>
    <w:rPr>
      <w:rFonts w:ascii="Cambria" w:eastAsia="Times New Roman" w:hAnsi="Cambria" w:cs="Times New Roman"/>
      <w:lang w:val="es-MX" w:eastAsia="ja-JP"/>
    </w:rPr>
  </w:style>
  <w:style w:type="character" w:styleId="FootnoteReference">
    <w:name w:val="footnote reference"/>
    <w:basedOn w:val="DefaultParagraphFont"/>
    <w:uiPriority w:val="99"/>
    <w:semiHidden/>
    <w:unhideWhenUsed/>
    <w:rsid w:val="006A4E18"/>
    <w:rPr>
      <w:vertAlign w:val="superscript"/>
    </w:rPr>
  </w:style>
  <w:style w:type="paragraph" w:styleId="BalloonText">
    <w:name w:val="Balloon Text"/>
    <w:basedOn w:val="Normal"/>
    <w:link w:val="BalloonTextChar"/>
    <w:uiPriority w:val="99"/>
    <w:semiHidden/>
    <w:unhideWhenUsed/>
    <w:rsid w:val="003717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7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marginson@unimelb.edu.a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3831</Words>
  <Characters>21837</Characters>
  <Application>Microsoft Macintosh Word</Application>
  <DocSecurity>0</DocSecurity>
  <Lines>181</Lines>
  <Paragraphs>51</Paragraphs>
  <ScaleCrop>false</ScaleCrop>
  <Company>The University of Melbourne</Company>
  <LinksUpToDate>false</LinksUpToDate>
  <CharactersWithSpaces>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William Marginson</dc:creator>
  <cp:keywords/>
  <dc:description/>
  <cp:lastModifiedBy>adrianna kezar</cp:lastModifiedBy>
  <cp:revision>2</cp:revision>
  <cp:lastPrinted>2013-04-24T12:30:00Z</cp:lastPrinted>
  <dcterms:created xsi:type="dcterms:W3CDTF">2013-07-26T17:02:00Z</dcterms:created>
  <dcterms:modified xsi:type="dcterms:W3CDTF">2013-07-26T17:02:00Z</dcterms:modified>
</cp:coreProperties>
</file>